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rPr>
          <w:rFonts w:ascii="方正公文小标宋" w:hAnsi="方正公文小标宋" w:eastAsia="方正公文小标宋" w:cs="方正公文小标宋"/>
          <w:smallCaps/>
          <w:snapToGrid/>
          <w:kern w:val="2"/>
          <w:sz w:val="44"/>
          <w:szCs w:val="44"/>
        </w:rPr>
      </w:pPr>
    </w:p>
    <w:p>
      <w:pPr>
        <w:pStyle w:val="3"/>
        <w:rPr>
          <w:rFonts w:ascii="方正公文小标宋" w:hAnsi="方正公文小标宋" w:eastAsia="方正公文小标宋" w:cs="方正公文小标宋"/>
          <w:smallCaps/>
          <w:snapToGrid/>
          <w:kern w:val="2"/>
          <w:sz w:val="44"/>
          <w:szCs w:val="44"/>
        </w:rPr>
      </w:pPr>
    </w:p>
    <w:p>
      <w:pPr>
        <w:widowControl w:val="0"/>
        <w:kinsoku/>
        <w:autoSpaceDE/>
        <w:autoSpaceDN/>
        <w:adjustRightInd/>
        <w:snapToGrid/>
        <w:spacing w:line="520" w:lineRule="exact"/>
        <w:jc w:val="center"/>
        <w:textAlignment w:val="auto"/>
        <w:rPr>
          <w:rFonts w:ascii="方正仿宋_GBK" w:hAnsi="Times New Roman" w:eastAsia="方正仿宋_GBK" w:cs="Times New Roman"/>
          <w:smallCaps/>
          <w:snapToGrid/>
          <w:kern w:val="2"/>
          <w:sz w:val="32"/>
          <w:szCs w:val="32"/>
        </w:rPr>
      </w:pPr>
      <w:r>
        <w:rPr>
          <w:rFonts w:hint="eastAsia" w:ascii="方正公文小标宋" w:hAnsi="方正公文小标宋" w:eastAsia="方正公文小标宋" w:cs="方正公文小标宋"/>
          <w:smallCaps/>
          <w:snapToGrid/>
          <w:kern w:val="2"/>
          <w:sz w:val="44"/>
          <w:szCs w:val="44"/>
        </w:rPr>
        <w:t>淮安市开展长期护理保险试点实施方案</w:t>
      </w:r>
    </w:p>
    <w:p>
      <w:pPr>
        <w:widowControl w:val="0"/>
        <w:kinsoku/>
        <w:autoSpaceDE/>
        <w:autoSpaceDN/>
        <w:adjustRightInd/>
        <w:snapToGrid/>
        <w:spacing w:line="520" w:lineRule="exact"/>
        <w:jc w:val="center"/>
        <w:textAlignment w:val="auto"/>
        <w:rPr>
          <w:rFonts w:ascii="方正仿宋_GBK" w:hAnsi="Times New Roman" w:eastAsia="方正仿宋_GBK" w:cs="Times New Roman"/>
          <w:smallCaps/>
          <w:snapToGrid/>
          <w:kern w:val="2"/>
          <w:sz w:val="32"/>
          <w:szCs w:val="32"/>
        </w:rPr>
      </w:pPr>
    </w:p>
    <w:p>
      <w:pPr>
        <w:widowControl w:val="0"/>
        <w:kinsoku/>
        <w:autoSpaceDE/>
        <w:autoSpaceDN/>
        <w:adjustRightInd/>
        <w:snapToGrid/>
        <w:spacing w:line="520" w:lineRule="exact"/>
        <w:jc w:val="center"/>
        <w:textAlignment w:val="auto"/>
        <w:rPr>
          <w:rFonts w:ascii="方正仿宋_GBK" w:hAnsi="Times New Roman" w:eastAsia="方正仿宋_GBK" w:cs="Times New Roman"/>
          <w:smallCaps/>
          <w:snapToGrid/>
          <w:kern w:val="2"/>
          <w:sz w:val="32"/>
          <w:szCs w:val="32"/>
        </w:rPr>
      </w:pPr>
      <w:r>
        <w:rPr>
          <w:rFonts w:hint="eastAsia" w:ascii="方正仿宋_GBK" w:hAnsi="Times New Roman" w:eastAsia="方正仿宋_GBK" w:cs="Times New Roman"/>
          <w:smallCaps/>
          <w:snapToGrid/>
          <w:kern w:val="2"/>
          <w:sz w:val="32"/>
          <w:szCs w:val="32"/>
        </w:rPr>
        <w:t>（</w:t>
      </w:r>
      <w:r>
        <w:rPr>
          <w:rFonts w:hint="eastAsia" w:ascii="方正仿宋_GBK" w:hAnsi="Times New Roman" w:eastAsia="方正仿宋_GBK" w:cs="Times New Roman"/>
          <w:smallCaps/>
          <w:snapToGrid/>
          <w:kern w:val="2"/>
          <w:sz w:val="32"/>
          <w:szCs w:val="32"/>
          <w:lang w:val="en-US" w:eastAsia="zh-CN"/>
        </w:rPr>
        <w:t>征求意见</w:t>
      </w:r>
      <w:r>
        <w:rPr>
          <w:rFonts w:hint="eastAsia" w:ascii="方正仿宋_GBK" w:hAnsi="Times New Roman" w:eastAsia="方正仿宋_GBK" w:cs="Times New Roman"/>
          <w:smallCaps/>
          <w:snapToGrid/>
          <w:kern w:val="2"/>
          <w:sz w:val="32"/>
          <w:szCs w:val="32"/>
        </w:rPr>
        <w:t>稿）</w:t>
      </w:r>
    </w:p>
    <w:p>
      <w:pPr>
        <w:widowControl w:val="0"/>
        <w:kinsoku/>
        <w:autoSpaceDE/>
        <w:autoSpaceDN/>
        <w:adjustRightInd/>
        <w:snapToGrid/>
        <w:spacing w:line="520" w:lineRule="exact"/>
        <w:ind w:firstLine="640" w:firstLineChars="200"/>
        <w:jc w:val="both"/>
        <w:textAlignment w:val="auto"/>
        <w:rPr>
          <w:rFonts w:ascii="方正仿宋_GBK" w:hAnsi="Times New Roman" w:eastAsia="方正仿宋_GBK" w:cs="Times New Roman"/>
          <w:smallCaps/>
          <w:snapToGrid/>
          <w:color w:val="auto"/>
          <w:kern w:val="2"/>
          <w:sz w:val="32"/>
          <w:szCs w:val="32"/>
        </w:rPr>
      </w:pPr>
      <w:r>
        <w:rPr>
          <w:rFonts w:hint="eastAsia" w:ascii="方正仿宋_GBK" w:hAnsi="Times New Roman" w:eastAsia="方正仿宋_GBK" w:cs="Times New Roman"/>
          <w:smallCaps/>
          <w:snapToGrid/>
          <w:color w:val="auto"/>
          <w:kern w:val="2"/>
          <w:sz w:val="32"/>
          <w:szCs w:val="32"/>
        </w:rPr>
        <w:t>为积极应对人口老龄化、健全社会保障体系，促进养老和健康产业发展，解决长期失能人员基本生活照料和日常护理问题，根据《中共淮安</w:t>
      </w:r>
      <w:r>
        <w:rPr>
          <w:rFonts w:hint="eastAsia" w:ascii="方正仿宋_GBK" w:hAnsi="Times New Roman" w:eastAsia="方正仿宋_GBK" w:cs="Times New Roman"/>
          <w:smallCaps/>
          <w:snapToGrid/>
          <w:color w:val="auto"/>
          <w:kern w:val="2"/>
          <w:sz w:val="32"/>
          <w:szCs w:val="32"/>
          <w:lang w:eastAsia="zh-CN"/>
        </w:rPr>
        <w:t>市</w:t>
      </w:r>
      <w:r>
        <w:rPr>
          <w:rFonts w:hint="eastAsia" w:ascii="方正仿宋_GBK" w:hAnsi="Times New Roman" w:eastAsia="方正仿宋_GBK" w:cs="Times New Roman"/>
          <w:smallCaps/>
          <w:snapToGrid/>
          <w:color w:val="auto"/>
          <w:kern w:val="2"/>
          <w:sz w:val="32"/>
          <w:szCs w:val="32"/>
        </w:rPr>
        <w:t>委</w:t>
      </w:r>
      <w:r>
        <w:rPr>
          <w:rFonts w:hint="eastAsia" w:ascii="方正仿宋_GBK" w:hAnsi="Times New Roman" w:eastAsia="方正仿宋_GBK" w:cs="Times New Roman"/>
          <w:smallCaps/>
          <w:snapToGrid/>
          <w:color w:val="auto"/>
          <w:kern w:val="2"/>
          <w:sz w:val="32"/>
          <w:szCs w:val="32"/>
          <w:lang w:val="en-US" w:eastAsia="zh-CN"/>
        </w:rPr>
        <w:t xml:space="preserve">  </w:t>
      </w:r>
      <w:r>
        <w:rPr>
          <w:rFonts w:hint="eastAsia" w:ascii="方正仿宋_GBK" w:hAnsi="Times New Roman" w:eastAsia="方正仿宋_GBK" w:cs="Times New Roman"/>
          <w:smallCaps/>
          <w:snapToGrid/>
          <w:color w:val="auto"/>
          <w:kern w:val="2"/>
          <w:sz w:val="32"/>
          <w:szCs w:val="32"/>
        </w:rPr>
        <w:t>淮安市人民政府关于</w:t>
      </w:r>
      <w:r>
        <w:rPr>
          <w:rFonts w:hint="eastAsia" w:ascii="方正仿宋_GBK" w:hAnsi="Times New Roman" w:eastAsia="方正仿宋_GBK" w:cs="Times New Roman"/>
          <w:smallCaps/>
          <w:snapToGrid/>
          <w:color w:val="auto"/>
          <w:kern w:val="2"/>
          <w:sz w:val="32"/>
          <w:szCs w:val="32"/>
          <w:lang w:eastAsia="zh-CN"/>
        </w:rPr>
        <w:t>印发淮安市</w:t>
      </w:r>
      <w:r>
        <w:rPr>
          <w:rFonts w:hint="eastAsia" w:ascii="方正仿宋_GBK" w:hAnsi="Times New Roman" w:eastAsia="方正仿宋_GBK" w:cs="Times New Roman"/>
          <w:smallCaps/>
          <w:snapToGrid/>
          <w:color w:val="auto"/>
          <w:kern w:val="2"/>
          <w:sz w:val="32"/>
          <w:szCs w:val="32"/>
        </w:rPr>
        <w:t>深化医疗保障制度改革</w:t>
      </w:r>
      <w:r>
        <w:rPr>
          <w:rFonts w:hint="eastAsia" w:ascii="方正仿宋_GBK" w:hAnsi="Times New Roman" w:eastAsia="方正仿宋_GBK" w:cs="Times New Roman"/>
          <w:smallCaps/>
          <w:snapToGrid/>
          <w:color w:val="auto"/>
          <w:kern w:val="2"/>
          <w:sz w:val="32"/>
          <w:szCs w:val="32"/>
          <w:lang w:eastAsia="zh-CN"/>
        </w:rPr>
        <w:t>实施方案的通知</w:t>
      </w:r>
      <w:r>
        <w:rPr>
          <w:rFonts w:hint="eastAsia" w:ascii="方正仿宋_GBK" w:hAnsi="Times New Roman" w:eastAsia="方正仿宋_GBK" w:cs="Times New Roman"/>
          <w:smallCaps/>
          <w:snapToGrid/>
          <w:color w:val="auto"/>
          <w:kern w:val="2"/>
          <w:sz w:val="32"/>
          <w:szCs w:val="32"/>
        </w:rPr>
        <w:t>》</w:t>
      </w:r>
      <w:r>
        <w:rPr>
          <w:rFonts w:hint="eastAsia" w:ascii="方正仿宋_GBK" w:hAnsi="Times New Roman" w:eastAsia="方正仿宋_GBK" w:cs="Times New Roman"/>
          <w:smallCaps/>
          <w:snapToGrid/>
          <w:color w:val="auto"/>
          <w:kern w:val="2"/>
          <w:sz w:val="32"/>
          <w:szCs w:val="32"/>
          <w:lang w:eastAsia="zh-CN"/>
        </w:rPr>
        <w:t>（</w:t>
      </w:r>
      <w:r>
        <w:rPr>
          <w:rFonts w:hint="eastAsia" w:ascii="方正仿宋_GBK" w:hAnsi="Times New Roman" w:eastAsia="方正仿宋_GBK" w:cs="Times New Roman"/>
          <w:smallCaps/>
          <w:snapToGrid/>
          <w:color w:val="auto"/>
          <w:kern w:val="2"/>
          <w:sz w:val="32"/>
          <w:szCs w:val="32"/>
        </w:rPr>
        <w:t>淮发〔2022〕12号</w:t>
      </w:r>
      <w:r>
        <w:rPr>
          <w:rFonts w:hint="eastAsia" w:ascii="方正仿宋_GBK" w:hAnsi="Times New Roman" w:eastAsia="方正仿宋_GBK" w:cs="Times New Roman"/>
          <w:smallCaps/>
          <w:snapToGrid/>
          <w:color w:val="auto"/>
          <w:kern w:val="2"/>
          <w:sz w:val="32"/>
          <w:szCs w:val="32"/>
          <w:lang w:eastAsia="zh-CN"/>
        </w:rPr>
        <w:t>）</w:t>
      </w:r>
      <w:r>
        <w:rPr>
          <w:rFonts w:hint="eastAsia" w:ascii="方正仿宋_GBK" w:hAnsi="Times New Roman" w:eastAsia="方正仿宋_GBK" w:cs="Times New Roman"/>
          <w:smallCaps/>
          <w:snapToGrid/>
          <w:color w:val="auto"/>
          <w:kern w:val="2"/>
          <w:sz w:val="32"/>
          <w:szCs w:val="32"/>
        </w:rPr>
        <w:t>精神，结合我市实际，决定在全市开展长期护理保险试点，现就开展长期护理保险试点制定本实施方案。</w:t>
      </w:r>
    </w:p>
    <w:p>
      <w:pPr>
        <w:widowControl w:val="0"/>
        <w:kinsoku/>
        <w:autoSpaceDE/>
        <w:autoSpaceDN/>
        <w:adjustRightInd/>
        <w:snapToGrid/>
        <w:spacing w:line="520" w:lineRule="exact"/>
        <w:ind w:firstLine="640" w:firstLineChars="200"/>
        <w:jc w:val="both"/>
        <w:textAlignment w:val="auto"/>
        <w:rPr>
          <w:rFonts w:ascii="方正宋黑_GBK" w:hAnsi="方正宋黑_GBK" w:eastAsia="方正宋黑_GBK" w:cs="方正宋黑_GBK"/>
          <w:smallCaps/>
          <w:snapToGrid/>
          <w:color w:val="auto"/>
          <w:kern w:val="2"/>
          <w:sz w:val="32"/>
          <w:szCs w:val="32"/>
        </w:rPr>
      </w:pPr>
      <w:r>
        <w:rPr>
          <w:rFonts w:hint="eastAsia" w:ascii="方正宋黑_GBK" w:hAnsi="方正宋黑_GBK" w:eastAsia="方正宋黑_GBK" w:cs="方正宋黑_GBK"/>
          <w:smallCaps/>
          <w:snapToGrid/>
          <w:color w:val="auto"/>
          <w:kern w:val="2"/>
          <w:sz w:val="32"/>
          <w:szCs w:val="32"/>
        </w:rPr>
        <w:t>一、总体要求</w:t>
      </w:r>
    </w:p>
    <w:p>
      <w:pPr>
        <w:widowControl w:val="0"/>
        <w:kinsoku/>
        <w:autoSpaceDE/>
        <w:autoSpaceDN/>
        <w:adjustRightInd/>
        <w:snapToGrid/>
        <w:spacing w:line="520" w:lineRule="exact"/>
        <w:ind w:firstLine="640" w:firstLineChars="200"/>
        <w:jc w:val="both"/>
        <w:textAlignment w:val="auto"/>
        <w:rPr>
          <w:rFonts w:ascii="方正楷体_GB2312" w:hAnsi="方正楷体_GB2312" w:eastAsia="方正楷体_GB2312" w:cs="方正楷体_GB2312"/>
          <w:smallCaps/>
          <w:snapToGrid/>
          <w:color w:val="auto"/>
          <w:kern w:val="2"/>
          <w:sz w:val="32"/>
          <w:szCs w:val="32"/>
        </w:rPr>
      </w:pPr>
      <w:r>
        <w:rPr>
          <w:rFonts w:hint="eastAsia" w:ascii="方正楷体_GB2312" w:hAnsi="方正楷体_GB2312" w:eastAsia="方正楷体_GB2312" w:cs="方正楷体_GB2312"/>
          <w:smallCaps/>
          <w:snapToGrid/>
          <w:color w:val="auto"/>
          <w:kern w:val="2"/>
          <w:sz w:val="32"/>
          <w:szCs w:val="32"/>
        </w:rPr>
        <w:t>(一)指导思想</w:t>
      </w:r>
    </w:p>
    <w:p>
      <w:pPr>
        <w:widowControl w:val="0"/>
        <w:kinsoku/>
        <w:autoSpaceDE/>
        <w:autoSpaceDN/>
        <w:adjustRightInd/>
        <w:snapToGrid/>
        <w:spacing w:line="520" w:lineRule="exact"/>
        <w:ind w:firstLine="640" w:firstLineChars="200"/>
        <w:jc w:val="both"/>
        <w:textAlignment w:val="auto"/>
        <w:rPr>
          <w:rFonts w:ascii="方正仿宋_GBK" w:hAnsi="Times New Roman" w:eastAsia="方正仿宋_GBK" w:cs="Times New Roman"/>
          <w:smallCaps/>
          <w:snapToGrid/>
          <w:color w:val="auto"/>
          <w:kern w:val="2"/>
          <w:sz w:val="32"/>
          <w:szCs w:val="32"/>
        </w:rPr>
      </w:pPr>
      <w:r>
        <w:rPr>
          <w:rFonts w:hint="eastAsia" w:ascii="方正仿宋_GBK" w:hAnsi="Times New Roman" w:eastAsia="方正仿宋_GBK" w:cs="Times New Roman"/>
          <w:smallCaps/>
          <w:snapToGrid/>
          <w:color w:val="auto"/>
          <w:kern w:val="2"/>
          <w:sz w:val="32"/>
          <w:szCs w:val="32"/>
        </w:rPr>
        <w:t>以习近平新时代中国特色社会主义思想为指导，全面贯彻党的二十大精神，坚持以人民健康为中心，建立符合我市实际的长期护理保险制度，健全多层次医疗保障体系，减轻失能人员家庭长期护理生活压力及经济负担，不断增强人民群众的获得感、幸福感和安全感。</w:t>
      </w:r>
    </w:p>
    <w:p>
      <w:pPr>
        <w:widowControl w:val="0"/>
        <w:kinsoku/>
        <w:autoSpaceDE/>
        <w:autoSpaceDN/>
        <w:adjustRightInd/>
        <w:snapToGrid/>
        <w:spacing w:line="520" w:lineRule="exact"/>
        <w:ind w:firstLine="640" w:firstLineChars="200"/>
        <w:jc w:val="both"/>
        <w:textAlignment w:val="auto"/>
        <w:rPr>
          <w:rFonts w:ascii="方正楷体_GB2312" w:hAnsi="方正楷体_GB2312" w:eastAsia="方正楷体_GB2312" w:cs="方正楷体_GB2312"/>
          <w:smallCaps/>
          <w:snapToGrid/>
          <w:color w:val="auto"/>
          <w:kern w:val="2"/>
          <w:sz w:val="32"/>
          <w:szCs w:val="32"/>
        </w:rPr>
      </w:pPr>
      <w:r>
        <w:rPr>
          <w:rFonts w:hint="eastAsia" w:ascii="方正楷体_GB2312" w:hAnsi="方正楷体_GB2312" w:eastAsia="方正楷体_GB2312" w:cs="方正楷体_GB2312"/>
          <w:smallCaps/>
          <w:snapToGrid/>
          <w:color w:val="auto"/>
          <w:kern w:val="2"/>
          <w:sz w:val="32"/>
          <w:szCs w:val="32"/>
        </w:rPr>
        <w:t>(二)基本原则</w:t>
      </w:r>
    </w:p>
    <w:p>
      <w:pPr>
        <w:widowControl w:val="0"/>
        <w:kinsoku/>
        <w:autoSpaceDE/>
        <w:autoSpaceDN/>
        <w:adjustRightInd/>
        <w:snapToGrid/>
        <w:spacing w:line="520" w:lineRule="exact"/>
        <w:ind w:firstLine="640" w:firstLineChars="200"/>
        <w:jc w:val="both"/>
        <w:textAlignment w:val="auto"/>
        <w:rPr>
          <w:rFonts w:ascii="方正仿宋_GBK" w:hAnsi="Times New Roman" w:eastAsia="方正仿宋_GBK" w:cs="Times New Roman"/>
          <w:smallCaps/>
          <w:snapToGrid/>
          <w:color w:val="auto"/>
          <w:kern w:val="2"/>
          <w:sz w:val="32"/>
          <w:szCs w:val="32"/>
        </w:rPr>
      </w:pPr>
      <w:r>
        <w:rPr>
          <w:rFonts w:hint="eastAsia" w:ascii="方正仿宋_GBK" w:hAnsi="Times New Roman" w:eastAsia="方正仿宋_GBK" w:cs="Times New Roman"/>
          <w:smallCaps/>
          <w:snapToGrid/>
          <w:color w:val="auto"/>
          <w:kern w:val="2"/>
          <w:sz w:val="32"/>
          <w:szCs w:val="32"/>
        </w:rPr>
        <w:t>坚持以人民为中心，重点解决重度失能人员长期护理保障问题；坚持保障基本，保障水平与经济社会发展水平和各方承受能力相适应；坚持责任共担，合理划分个人、社会筹资责任和保障责任；坚持机制创新，探索建立可持续发展的运行机制，提升保障效能和管理水平；坚持统筹协调，制定全市统一的政策制度，做好与相关社会保障制度及商业保险的功能衔接。</w:t>
      </w:r>
    </w:p>
    <w:p>
      <w:pPr>
        <w:widowControl w:val="0"/>
        <w:numPr>
          <w:ilvl w:val="0"/>
          <w:numId w:val="1"/>
        </w:numPr>
        <w:kinsoku/>
        <w:autoSpaceDE/>
        <w:autoSpaceDN/>
        <w:adjustRightInd/>
        <w:snapToGrid/>
        <w:spacing w:line="520" w:lineRule="exact"/>
        <w:ind w:firstLine="640" w:firstLineChars="200"/>
        <w:jc w:val="both"/>
        <w:textAlignment w:val="auto"/>
        <w:rPr>
          <w:rFonts w:ascii="方正宋黑_GBK" w:hAnsi="方正宋黑_GBK" w:eastAsia="方正宋黑_GBK" w:cs="方正宋黑_GBK"/>
          <w:smallCaps/>
          <w:snapToGrid/>
          <w:color w:val="auto"/>
          <w:kern w:val="2"/>
          <w:sz w:val="32"/>
          <w:szCs w:val="32"/>
        </w:rPr>
      </w:pPr>
      <w:r>
        <w:rPr>
          <w:rFonts w:hint="eastAsia" w:ascii="方正宋黑_GBK" w:hAnsi="方正宋黑_GBK" w:eastAsia="方正宋黑_GBK" w:cs="方正宋黑_GBK"/>
          <w:smallCaps/>
          <w:snapToGrid/>
          <w:color w:val="auto"/>
          <w:kern w:val="2"/>
          <w:sz w:val="32"/>
          <w:szCs w:val="32"/>
        </w:rPr>
        <w:t>基本政策</w:t>
      </w:r>
    </w:p>
    <w:p>
      <w:pPr>
        <w:widowControl w:val="0"/>
        <w:kinsoku/>
        <w:autoSpaceDE/>
        <w:autoSpaceDN/>
        <w:adjustRightInd/>
        <w:snapToGrid/>
        <w:spacing w:line="520" w:lineRule="exact"/>
        <w:ind w:firstLine="640" w:firstLineChars="200"/>
        <w:jc w:val="both"/>
        <w:textAlignment w:val="auto"/>
        <w:rPr>
          <w:rFonts w:ascii="方正楷体_GB2312" w:hAnsi="方正楷体_GB2312" w:eastAsia="方正楷体_GB2312" w:cs="方正楷体_GB2312"/>
          <w:smallCaps/>
          <w:snapToGrid/>
          <w:color w:val="auto"/>
          <w:kern w:val="2"/>
          <w:sz w:val="32"/>
          <w:szCs w:val="32"/>
        </w:rPr>
      </w:pPr>
      <w:r>
        <w:rPr>
          <w:rFonts w:hint="eastAsia" w:ascii="方正楷体_GB2312" w:hAnsi="方正楷体_GB2312" w:eastAsia="方正楷体_GB2312" w:cs="方正楷体_GB2312"/>
          <w:smallCaps/>
          <w:snapToGrid/>
          <w:color w:val="auto"/>
          <w:kern w:val="2"/>
          <w:sz w:val="32"/>
          <w:szCs w:val="32"/>
        </w:rPr>
        <w:t>（一）参保范围</w:t>
      </w:r>
    </w:p>
    <w:p>
      <w:pPr>
        <w:widowControl w:val="0"/>
        <w:kinsoku/>
        <w:autoSpaceDE/>
        <w:autoSpaceDN/>
        <w:adjustRightInd/>
        <w:snapToGrid/>
        <w:spacing w:line="500" w:lineRule="exact"/>
        <w:ind w:firstLine="640" w:firstLineChars="200"/>
        <w:textAlignment w:val="auto"/>
        <w:rPr>
          <w:rFonts w:ascii="方正宋黑_GBK" w:hAnsi="方正宋黑_GBK" w:eastAsia="方正宋黑_GBK" w:cs="方正宋黑_GBK"/>
          <w:smallCaps/>
          <w:snapToGrid/>
          <w:color w:val="auto"/>
          <w:kern w:val="2"/>
          <w:sz w:val="32"/>
          <w:szCs w:val="32"/>
          <w:u w:val="none"/>
        </w:rPr>
      </w:pPr>
      <w:r>
        <w:rPr>
          <w:rFonts w:hint="eastAsia" w:ascii="方正仿宋_GBK" w:hAnsi="Times New Roman" w:eastAsia="方正仿宋_GBK" w:cs="Times New Roman"/>
          <w:smallCaps/>
          <w:snapToGrid/>
          <w:color w:val="auto"/>
          <w:kern w:val="2"/>
          <w:sz w:val="32"/>
          <w:szCs w:val="32"/>
        </w:rPr>
        <w:t>我市职工基本医疗保险(以下简称”职工医保“)参保人员，参加长期护理保险试点。</w:t>
      </w:r>
      <w:r>
        <w:rPr>
          <w:rFonts w:hint="eastAsia" w:eastAsia="方正仿宋_GBK"/>
          <w:color w:val="auto"/>
          <w:sz w:val="32"/>
          <w:szCs w:val="32"/>
        </w:rPr>
        <w:t>随着制度的建立完善，综合考虑经济发展水平、基金筹集能力和保障需要等因素，参保范围逐步延伸到全市居民基本医疗保险参加人员，</w:t>
      </w:r>
      <w:r>
        <w:rPr>
          <w:rFonts w:hint="eastAsia" w:eastAsia="方正仿宋_GBK"/>
          <w:color w:val="auto"/>
          <w:sz w:val="32"/>
          <w:szCs w:val="32"/>
          <w:u w:val="none"/>
        </w:rPr>
        <w:t>保障对象逐步扩大到中度失能等级人员。</w:t>
      </w:r>
    </w:p>
    <w:p>
      <w:pPr>
        <w:widowControl w:val="0"/>
        <w:kinsoku/>
        <w:autoSpaceDE/>
        <w:autoSpaceDN/>
        <w:adjustRightInd/>
        <w:snapToGrid/>
        <w:spacing w:line="520" w:lineRule="exact"/>
        <w:ind w:firstLine="640" w:firstLineChars="200"/>
        <w:jc w:val="both"/>
        <w:textAlignment w:val="auto"/>
        <w:rPr>
          <w:rFonts w:ascii="方正楷体_GB2312" w:hAnsi="方正楷体_GB2312" w:eastAsia="方正楷体_GB2312" w:cs="方正楷体_GB2312"/>
          <w:smallCaps/>
          <w:snapToGrid/>
          <w:color w:val="auto"/>
          <w:kern w:val="2"/>
          <w:sz w:val="32"/>
          <w:szCs w:val="32"/>
        </w:rPr>
      </w:pPr>
      <w:r>
        <w:rPr>
          <w:rFonts w:hint="eastAsia" w:ascii="方正楷体_GB2312" w:hAnsi="方正楷体_GB2312" w:eastAsia="方正楷体_GB2312" w:cs="方正楷体_GB2312"/>
          <w:smallCaps/>
          <w:snapToGrid/>
          <w:color w:val="auto"/>
          <w:kern w:val="2"/>
          <w:sz w:val="32"/>
          <w:szCs w:val="32"/>
        </w:rPr>
        <w:t>（二）资金筹资</w:t>
      </w:r>
    </w:p>
    <w:p>
      <w:pPr>
        <w:widowControl w:val="0"/>
        <w:kinsoku/>
        <w:autoSpaceDE/>
        <w:autoSpaceDN/>
        <w:adjustRightInd/>
        <w:snapToGrid/>
        <w:spacing w:line="520" w:lineRule="exact"/>
        <w:ind w:firstLine="640" w:firstLineChars="200"/>
        <w:jc w:val="both"/>
        <w:textAlignment w:val="auto"/>
        <w:rPr>
          <w:rFonts w:hint="eastAsia" w:ascii="Arial" w:hAnsi="Arial" w:eastAsia="方正仿宋_GBK" w:cs="Arial"/>
          <w:color w:val="auto"/>
          <w:sz w:val="32"/>
          <w:szCs w:val="32"/>
        </w:rPr>
      </w:pPr>
      <w:r>
        <w:rPr>
          <w:rFonts w:hint="eastAsia" w:eastAsia="方正仿宋_GBK"/>
          <w:color w:val="auto"/>
          <w:sz w:val="32"/>
          <w:szCs w:val="32"/>
        </w:rPr>
        <w:t>按照“以收定支、收支平衡、略有结余”的原则，建立长期护理保险基金。</w:t>
      </w:r>
      <w:r>
        <w:rPr>
          <w:rFonts w:hint="eastAsia" w:ascii="方正仿宋_GBK" w:hAnsi="Times New Roman" w:eastAsia="方正仿宋_GBK" w:cs="Times New Roman"/>
          <w:smallCaps/>
          <w:snapToGrid/>
          <w:color w:val="auto"/>
          <w:kern w:val="2"/>
          <w:sz w:val="32"/>
          <w:szCs w:val="32"/>
        </w:rPr>
        <w:t>筹集标准暂定每人每年100元，由职工个人和医保基金各承担50元，其中医疗救助对象</w:t>
      </w:r>
      <w:r>
        <w:rPr>
          <w:rFonts w:hint="eastAsia" w:ascii="Arial" w:hAnsi="Arial" w:eastAsia="方正仿宋_GBK" w:cs="Arial"/>
          <w:color w:val="auto"/>
          <w:sz w:val="32"/>
          <w:szCs w:val="32"/>
          <w:lang w:val="en-US" w:eastAsia="zh-CN"/>
        </w:rPr>
        <w:t>和丧失劳动能力的残疾人</w:t>
      </w:r>
      <w:r>
        <w:rPr>
          <w:rFonts w:hint="eastAsia" w:ascii="Arial" w:hAnsi="Arial" w:eastAsia="方正仿宋_GBK" w:cs="Arial"/>
          <w:color w:val="auto"/>
          <w:sz w:val="32"/>
          <w:szCs w:val="32"/>
        </w:rPr>
        <w:t>个人缴费部分由地方财政全额</w:t>
      </w:r>
      <w:r>
        <w:rPr>
          <w:rFonts w:hint="eastAsia" w:ascii="Arial" w:hAnsi="Arial" w:eastAsia="方正仿宋_GBK" w:cs="Arial"/>
          <w:color w:val="auto"/>
          <w:sz w:val="32"/>
          <w:szCs w:val="32"/>
          <w:lang w:val="en-US" w:eastAsia="zh-CN"/>
        </w:rPr>
        <w:t>补</w:t>
      </w:r>
      <w:r>
        <w:rPr>
          <w:rFonts w:hint="eastAsia" w:ascii="Arial" w:hAnsi="Arial" w:eastAsia="方正仿宋_GBK" w:cs="Arial"/>
          <w:color w:val="auto"/>
          <w:sz w:val="32"/>
          <w:szCs w:val="32"/>
        </w:rPr>
        <w:t>助。</w:t>
      </w:r>
    </w:p>
    <w:p>
      <w:pPr>
        <w:widowControl w:val="0"/>
        <w:kinsoku/>
        <w:autoSpaceDE/>
        <w:autoSpaceDN/>
        <w:adjustRightInd/>
        <w:snapToGrid/>
        <w:spacing w:line="520" w:lineRule="exact"/>
        <w:ind w:firstLine="640" w:firstLineChars="200"/>
        <w:jc w:val="both"/>
        <w:textAlignment w:val="auto"/>
        <w:rPr>
          <w:rFonts w:ascii="方正仿宋_GBK" w:hAnsi="Times New Roman" w:eastAsia="方正仿宋_GBK" w:cs="Times New Roman"/>
          <w:smallCaps/>
          <w:snapToGrid/>
          <w:color w:val="auto"/>
          <w:kern w:val="2"/>
          <w:sz w:val="32"/>
          <w:szCs w:val="32"/>
        </w:rPr>
      </w:pPr>
      <w:r>
        <w:rPr>
          <w:rFonts w:hint="eastAsia" w:eastAsia="方正仿宋_GBK"/>
          <w:color w:val="auto"/>
          <w:sz w:val="32"/>
          <w:szCs w:val="32"/>
        </w:rPr>
        <w:t>职工医保参保人员个人缴纳部分，从职工医保个人账户中一次性划转</w:t>
      </w:r>
      <w:r>
        <w:rPr>
          <w:rFonts w:hint="eastAsia" w:ascii="方正仿宋_GBK" w:hAnsi="Times New Roman" w:eastAsia="方正仿宋_GBK" w:cs="Times New Roman"/>
          <w:smallCaps/>
          <w:snapToGrid/>
          <w:color w:val="auto"/>
          <w:kern w:val="2"/>
          <w:sz w:val="32"/>
          <w:szCs w:val="32"/>
        </w:rPr>
        <w:t>。医保基金部分，由医保经办机构每年按照实际参保人数，从职工医保统筹基金中划转。</w:t>
      </w:r>
      <w:r>
        <w:rPr>
          <w:rFonts w:hint="eastAsia" w:eastAsia="方正仿宋_GBK"/>
          <w:color w:val="auto"/>
          <w:sz w:val="32"/>
          <w:szCs w:val="32"/>
        </w:rPr>
        <w:t>通过个人缴纳、政府财政补助、基本医疗保险统筹基金划入等途径按年度筹集，鼓励企业、单位、慈善机构等社会团体和个人给予支持或捐助。</w:t>
      </w:r>
    </w:p>
    <w:p>
      <w:pPr>
        <w:widowControl w:val="0"/>
        <w:numPr>
          <w:ilvl w:val="0"/>
          <w:numId w:val="2"/>
        </w:numPr>
        <w:kinsoku/>
        <w:autoSpaceDE/>
        <w:autoSpaceDN/>
        <w:adjustRightInd/>
        <w:snapToGrid/>
        <w:spacing w:line="520" w:lineRule="exact"/>
        <w:ind w:firstLine="640" w:firstLineChars="200"/>
        <w:jc w:val="both"/>
        <w:textAlignment w:val="auto"/>
        <w:rPr>
          <w:rFonts w:ascii="方正楷体_GB2312" w:hAnsi="方正楷体_GB2312" w:eastAsia="方正楷体_GB2312" w:cs="方正楷体_GB2312"/>
          <w:smallCaps/>
          <w:snapToGrid/>
          <w:color w:val="auto"/>
          <w:kern w:val="2"/>
          <w:sz w:val="32"/>
          <w:szCs w:val="32"/>
        </w:rPr>
      </w:pPr>
      <w:r>
        <w:rPr>
          <w:rFonts w:hint="eastAsia" w:ascii="方正楷体_GB2312" w:hAnsi="方正楷体_GB2312" w:eastAsia="方正楷体_GB2312" w:cs="方正楷体_GB2312"/>
          <w:smallCaps/>
          <w:snapToGrid/>
          <w:color w:val="auto"/>
          <w:kern w:val="2"/>
          <w:sz w:val="32"/>
          <w:szCs w:val="32"/>
        </w:rPr>
        <w:t>待遇享受</w:t>
      </w:r>
    </w:p>
    <w:p>
      <w:pPr>
        <w:widowControl w:val="0"/>
        <w:kinsoku/>
        <w:autoSpaceDE/>
        <w:autoSpaceDN/>
        <w:adjustRightInd/>
        <w:snapToGrid/>
        <w:spacing w:line="520" w:lineRule="exact"/>
        <w:ind w:firstLine="640" w:firstLineChars="200"/>
        <w:jc w:val="both"/>
        <w:textAlignment w:val="auto"/>
        <w:rPr>
          <w:rFonts w:ascii="方正仿宋_GBK" w:hAnsi="Times New Roman" w:eastAsia="方正仿宋_GBK" w:cs="Times New Roman"/>
          <w:smallCaps/>
          <w:snapToGrid/>
          <w:color w:val="auto"/>
          <w:kern w:val="2"/>
          <w:sz w:val="32"/>
          <w:szCs w:val="32"/>
        </w:rPr>
      </w:pPr>
      <w:r>
        <w:rPr>
          <w:rFonts w:hint="eastAsia" w:eastAsia="方正仿宋_GBK"/>
          <w:color w:val="auto"/>
          <w:sz w:val="32"/>
          <w:szCs w:val="32"/>
        </w:rPr>
        <w:t>1.失能评估。申请享受护理保险待遇的参保人员，应当先进行失能评估。</w:t>
      </w:r>
      <w:r>
        <w:rPr>
          <w:rFonts w:hint="eastAsia" w:ascii="方正仿宋_GBK" w:hAnsi="Times New Roman" w:eastAsia="方正仿宋_GBK" w:cs="Times New Roman"/>
          <w:smallCaps/>
          <w:snapToGrid/>
          <w:color w:val="auto"/>
          <w:kern w:val="2"/>
          <w:sz w:val="32"/>
          <w:szCs w:val="32"/>
        </w:rPr>
        <w:t>制定全市统一的长期护理保险失能评估管理办法，规范评估机构及评估人员管理，优化评估流程，细化完善评估标准，加强评估管理与监督。建立失能评估费用分担机制，将符合规定的失能评估费用纳入长期护理保险基金支付范围。</w:t>
      </w:r>
    </w:p>
    <w:p>
      <w:pPr>
        <w:widowControl w:val="0"/>
        <w:kinsoku/>
        <w:autoSpaceDE/>
        <w:autoSpaceDN/>
        <w:adjustRightInd/>
        <w:snapToGrid/>
        <w:spacing w:line="500" w:lineRule="exact"/>
        <w:ind w:firstLine="640" w:firstLineChars="200"/>
        <w:textAlignment w:val="auto"/>
        <w:rPr>
          <w:rFonts w:ascii="方正仿宋_GBK" w:hAnsi="Times New Roman" w:eastAsia="方正仿宋_GBK" w:cs="Times New Roman"/>
          <w:smallCaps/>
          <w:snapToGrid/>
          <w:color w:val="auto"/>
          <w:kern w:val="2"/>
          <w:sz w:val="32"/>
          <w:szCs w:val="32"/>
        </w:rPr>
      </w:pPr>
      <w:r>
        <w:rPr>
          <w:rFonts w:hint="eastAsia" w:eastAsia="方正仿宋_GBK"/>
          <w:color w:val="auto"/>
          <w:sz w:val="32"/>
          <w:szCs w:val="32"/>
        </w:rPr>
        <w:t>2.享受条件。</w:t>
      </w:r>
      <w:r>
        <w:rPr>
          <w:rFonts w:hint="eastAsia" w:ascii="方正仿宋_GBK" w:hAnsi="Times New Roman" w:eastAsia="方正仿宋_GBK" w:cs="Times New Roman"/>
          <w:smallCaps/>
          <w:snapToGrid/>
          <w:color w:val="auto"/>
          <w:kern w:val="2"/>
          <w:sz w:val="32"/>
          <w:szCs w:val="32"/>
        </w:rPr>
        <w:t>参保人员因年老、疾病、伤残等导致失能，经</w:t>
      </w:r>
      <w:r>
        <w:rPr>
          <w:rFonts w:hint="eastAsia" w:ascii="方正仿宋_GBK" w:hAnsi="Times New Roman" w:eastAsia="方正仿宋_GBK" w:cs="Times New Roman"/>
          <w:smallCaps/>
          <w:snapToGrid/>
          <w:color w:val="auto"/>
          <w:kern w:val="2"/>
          <w:sz w:val="32"/>
          <w:szCs w:val="32"/>
          <w:u w:val="none"/>
        </w:rPr>
        <w:t>过6个月以上的治疗</w:t>
      </w:r>
      <w:r>
        <w:rPr>
          <w:rFonts w:hint="eastAsia" w:ascii="方正仿宋_GBK" w:hAnsi="Times New Roman" w:eastAsia="方正仿宋_GBK" w:cs="Times New Roman"/>
          <w:smallCaps/>
          <w:snapToGrid/>
          <w:color w:val="auto"/>
          <w:kern w:val="2"/>
          <w:sz w:val="32"/>
          <w:szCs w:val="32"/>
        </w:rPr>
        <w:t>后病情基本稳定，并经我市长期护理保险失能等级评估为</w:t>
      </w:r>
      <w:r>
        <w:rPr>
          <w:rFonts w:hint="eastAsia" w:ascii="方正仿宋_GBK" w:hAnsi="Times New Roman" w:eastAsia="方正仿宋_GBK" w:cs="Times New Roman"/>
          <w:b w:val="0"/>
          <w:bCs w:val="0"/>
          <w:smallCaps/>
          <w:snapToGrid/>
          <w:color w:val="auto"/>
          <w:kern w:val="2"/>
          <w:sz w:val="32"/>
          <w:szCs w:val="32"/>
        </w:rPr>
        <w:t>重度</w:t>
      </w:r>
      <w:r>
        <w:rPr>
          <w:rFonts w:hint="eastAsia" w:ascii="方正仿宋_GBK" w:hAnsi="Times New Roman" w:eastAsia="方正仿宋_GBK" w:cs="Times New Roman"/>
          <w:smallCaps/>
          <w:snapToGrid/>
          <w:color w:val="auto"/>
          <w:kern w:val="2"/>
          <w:sz w:val="32"/>
          <w:szCs w:val="32"/>
        </w:rPr>
        <w:t>失能的，次月起可按规定享受相应保障待遇。</w:t>
      </w:r>
    </w:p>
    <w:p>
      <w:pPr>
        <w:widowControl w:val="0"/>
        <w:kinsoku/>
        <w:autoSpaceDE/>
        <w:autoSpaceDN/>
        <w:adjustRightInd/>
        <w:snapToGrid/>
        <w:spacing w:line="500" w:lineRule="exact"/>
        <w:ind w:firstLine="640" w:firstLineChars="200"/>
        <w:textAlignment w:val="auto"/>
        <w:rPr>
          <w:rFonts w:ascii="方正仿宋_GBK" w:hAnsi="Times New Roman" w:eastAsia="方正仿宋_GBK" w:cs="Times New Roman"/>
          <w:smallCaps/>
          <w:snapToGrid/>
          <w:color w:val="auto"/>
          <w:kern w:val="2"/>
          <w:sz w:val="32"/>
          <w:szCs w:val="32"/>
        </w:rPr>
      </w:pPr>
      <w:r>
        <w:rPr>
          <w:rFonts w:hint="eastAsia" w:eastAsia="方正仿宋_GBK"/>
          <w:color w:val="auto"/>
          <w:sz w:val="32"/>
          <w:szCs w:val="32"/>
        </w:rPr>
        <mc:AlternateContent>
          <mc:Choice Requires="wps">
            <w:drawing>
              <wp:anchor distT="0" distB="0" distL="114300" distR="114300" simplePos="0" relativeHeight="251662336" behindDoc="0" locked="0" layoutInCell="0" allowOverlap="1">
                <wp:simplePos x="0" y="0"/>
                <wp:positionH relativeFrom="page">
                  <wp:posOffset>807085</wp:posOffset>
                </wp:positionH>
                <wp:positionV relativeFrom="page">
                  <wp:posOffset>9384665</wp:posOffset>
                </wp:positionV>
                <wp:extent cx="1166495" cy="613410"/>
                <wp:effectExtent l="0" t="0" r="14605" b="15240"/>
                <wp:wrapNone/>
                <wp:docPr id="2" name="矩形 2"/>
                <wp:cNvGraphicFramePr/>
                <a:graphic xmlns:a="http://schemas.openxmlformats.org/drawingml/2006/main">
                  <a:graphicData uri="http://schemas.microsoft.com/office/word/2010/wordprocessingShape">
                    <wps:wsp>
                      <wps:cNvSpPr/>
                      <wps:spPr>
                        <a:xfrm>
                          <a:off x="0" y="0"/>
                          <a:ext cx="1166495" cy="613410"/>
                        </a:xfrm>
                        <a:prstGeom prst="rect">
                          <a:avLst/>
                        </a:prstGeom>
                        <a:solidFill>
                          <a:srgbClr val="FEFEFE"/>
                        </a:solidFill>
                        <a:ln>
                          <a:noFill/>
                        </a:ln>
                      </wps:spPr>
                      <wps:bodyPr upright="1"/>
                    </wps:wsp>
                  </a:graphicData>
                </a:graphic>
              </wp:anchor>
            </w:drawing>
          </mc:Choice>
          <mc:Fallback>
            <w:pict>
              <v:rect id="_x0000_s1026" o:spid="_x0000_s1026" o:spt="1" style="position:absolute;left:0pt;margin-left:63.55pt;margin-top:738.95pt;height:48.3pt;width:91.85pt;mso-position-horizontal-relative:page;mso-position-vertical-relative:page;z-index:251662336;mso-width-relative:page;mso-height-relative:page;" fillcolor="#FEFEFE" filled="t" stroked="f" coordsize="21600,21600" o:allowincell="f" o:gfxdata="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NMTf8TbAAAADQEAAA8AAAAAAAAAAQAgAAAAIgAAAGRycy9kb3ducmV2LnhtbFBLAQIUABQA&#10;AAAIAIdO4kDeTk5OtAEAAF8DAAAOAAAAAAAAAAEAIAAAACoBAABkcnMvZTJvRG9jLnhtbFBLBQYA&#10;AAAABgAGAFkBAABQBQAAAAA=&#10;">
                <v:fill on="t" focussize="0,0"/>
                <v:stroke on="f"/>
                <v:imagedata o:title=""/>
                <o:lock v:ext="edit" aspectratio="f"/>
              </v:rect>
            </w:pict>
          </mc:Fallback>
        </mc:AlternateContent>
      </w:r>
      <w:r>
        <w:rPr>
          <w:rFonts w:hint="eastAsia" w:eastAsia="方正仿宋_GBK"/>
          <w:color w:val="auto"/>
          <w:sz w:val="32"/>
          <w:szCs w:val="32"/>
        </w:rPr>
        <w:t>3.保障类型。</w:t>
      </w:r>
      <w:r>
        <w:rPr>
          <w:rFonts w:hint="eastAsia" w:ascii="方正仿宋_GBK" w:hAnsi="Times New Roman" w:eastAsia="方正仿宋_GBK" w:cs="Times New Roman"/>
          <w:smallCaps/>
          <w:snapToGrid/>
          <w:color w:val="auto"/>
          <w:kern w:val="2"/>
          <w:sz w:val="32"/>
          <w:szCs w:val="32"/>
        </w:rPr>
        <w:t>根据护理服务形式不同，长期护理保险保障服务分为以下</w:t>
      </w:r>
      <w:r>
        <w:rPr>
          <w:rFonts w:hint="eastAsia" w:ascii="方正仿宋_GBK" w:hAnsi="Times New Roman" w:eastAsia="方正仿宋_GBK" w:cs="Times New Roman"/>
          <w:smallCaps/>
          <w:snapToGrid/>
          <w:color w:val="auto"/>
          <w:kern w:val="2"/>
          <w:sz w:val="32"/>
          <w:szCs w:val="32"/>
          <w:u w:val="none"/>
        </w:rPr>
        <w:t>四类</w:t>
      </w:r>
      <w:r>
        <w:rPr>
          <w:rFonts w:hint="eastAsia" w:ascii="方正仿宋_GBK" w:hAnsi="Times New Roman" w:eastAsia="方正仿宋_GBK" w:cs="Times New Roman"/>
          <w:smallCaps/>
          <w:snapToGrid/>
          <w:color w:val="auto"/>
          <w:kern w:val="2"/>
          <w:sz w:val="32"/>
          <w:szCs w:val="32"/>
        </w:rPr>
        <w:t>：一是参保人员</w:t>
      </w:r>
      <w:r>
        <w:rPr>
          <w:rFonts w:hint="eastAsia" w:eastAsia="方正仿宋_GBK"/>
          <w:color w:val="auto"/>
          <w:sz w:val="32"/>
          <w:szCs w:val="32"/>
        </w:rPr>
        <w:t>居家接受家人亲情护理服务，</w:t>
      </w:r>
    </w:p>
    <w:p>
      <w:pPr>
        <w:widowControl w:val="0"/>
        <w:kinsoku/>
        <w:autoSpaceDE/>
        <w:autoSpaceDN/>
        <w:adjustRightInd/>
        <w:snapToGrid/>
        <w:spacing w:line="500" w:lineRule="exact"/>
        <w:textAlignment w:val="auto"/>
        <w:rPr>
          <w:rFonts w:eastAsia="方正仿宋_GBK"/>
          <w:color w:val="auto"/>
          <w:sz w:val="32"/>
          <w:szCs w:val="32"/>
        </w:rPr>
      </w:pPr>
      <w:r>
        <w:rPr>
          <w:rFonts w:hint="eastAsia" w:ascii="方正仿宋_GBK" w:hAnsi="Times New Roman" w:eastAsia="方正仿宋_GBK" w:cs="Times New Roman"/>
          <w:smallCaps/>
          <w:snapToGrid/>
          <w:color w:val="auto"/>
          <w:kern w:val="2"/>
          <w:sz w:val="32"/>
          <w:szCs w:val="32"/>
        </w:rPr>
        <w:t>二是居家接受机构安排人员上门护理服务，三是在养老服务机构接受护理服务，四是在基本医疗保险定点医疗机构专护病房接受护理服务。</w:t>
      </w:r>
      <w:r>
        <w:rPr>
          <w:rFonts w:hint="eastAsia" w:eastAsia="方正仿宋_GBK"/>
          <w:color w:val="auto"/>
          <w:sz w:val="32"/>
          <w:szCs w:val="32"/>
        </w:rPr>
        <w:t>护理保险服务内容主要包括基本生活照料和与生活密切相关的基本医疗护理等。</w:t>
      </w:r>
    </w:p>
    <w:p>
      <w:pPr>
        <w:widowControl w:val="0"/>
        <w:numPr>
          <w:numId w:val="0"/>
        </w:numPr>
        <w:kinsoku/>
        <w:autoSpaceDE/>
        <w:autoSpaceDN/>
        <w:adjustRightInd/>
        <w:snapToGrid/>
        <w:spacing w:line="500" w:lineRule="exact"/>
        <w:ind w:firstLine="640" w:firstLineChars="200"/>
        <w:textAlignment w:val="auto"/>
        <w:rPr>
          <w:rFonts w:eastAsia="方正仿宋_GBK"/>
          <w:color w:val="auto"/>
          <w:sz w:val="32"/>
          <w:szCs w:val="32"/>
        </w:rPr>
      </w:pPr>
      <w:r>
        <w:rPr>
          <w:rFonts w:hint="eastAsia" w:eastAsia="方正仿宋_GBK"/>
          <w:color w:val="auto"/>
          <w:sz w:val="32"/>
          <w:szCs w:val="32"/>
          <w:lang w:val="en-US" w:eastAsia="zh-CN"/>
        </w:rPr>
        <w:t>4.</w:t>
      </w:r>
      <w:r>
        <w:rPr>
          <w:rFonts w:hint="eastAsia" w:eastAsia="方正仿宋_GBK"/>
          <w:color w:val="auto"/>
          <w:sz w:val="32"/>
          <w:szCs w:val="32"/>
        </w:rPr>
        <w:t>保障内容。保障对象接受护理服务期间，发生符合护理保险支付范围的费用，按照不同的服务形式、服务项目和服务内容，由护理保险基金规定支付。做好护理保险支付政策与其他社会保险基金支付或政府补助护理费用等政策的衔接。</w:t>
      </w:r>
    </w:p>
    <w:p>
      <w:pPr>
        <w:widowControl w:val="0"/>
        <w:kinsoku/>
        <w:autoSpaceDE/>
        <w:autoSpaceDN/>
        <w:adjustRightInd/>
        <w:snapToGrid/>
        <w:spacing w:line="500" w:lineRule="exact"/>
        <w:ind w:firstLine="640" w:firstLineChars="200"/>
        <w:textAlignment w:val="auto"/>
        <w:rPr>
          <w:rFonts w:eastAsia="方正仿宋_GBK"/>
          <w:color w:val="auto"/>
          <w:sz w:val="32"/>
          <w:szCs w:val="32"/>
        </w:rPr>
      </w:pPr>
      <w:r>
        <w:rPr>
          <w:rFonts w:hint="eastAsia" w:eastAsia="方正仿宋_GBK"/>
          <w:color w:val="auto"/>
          <w:sz w:val="32"/>
          <w:szCs w:val="32"/>
        </w:rPr>
        <w:t>5.动态调整。建立筹资标准和待遇标准动态调整机制。市医疗保障行政部门会同市财政部门根据城乡居民人均可支配收入增长情况、护理服务供给能力、基金收支情况等因素适时调整筹资水平和支付待遇。</w:t>
      </w:r>
    </w:p>
    <w:p>
      <w:pPr>
        <w:pStyle w:val="7"/>
        <w:shd w:val="clear" w:color="auto" w:fill="FFFFFF"/>
        <w:kinsoku/>
        <w:autoSpaceDE/>
        <w:autoSpaceDN/>
        <w:adjustRightInd/>
        <w:snapToGrid/>
        <w:spacing w:before="0" w:beforeAutospacing="0" w:after="0" w:afterAutospacing="0" w:line="500" w:lineRule="exact"/>
        <w:ind w:firstLine="640" w:firstLineChars="200"/>
        <w:jc w:val="both"/>
        <w:textAlignment w:val="auto"/>
        <w:rPr>
          <w:color w:val="auto"/>
        </w:rPr>
      </w:pPr>
      <w:r>
        <w:rPr>
          <w:rFonts w:hint="eastAsia" w:ascii="方正宋黑_GBK" w:hAnsi="方正宋黑_GBK" w:eastAsia="方正宋黑_GBK" w:cs="方正宋黑_GBK"/>
          <w:smallCaps/>
          <w:snapToGrid/>
          <w:color w:val="auto"/>
          <w:kern w:val="2"/>
          <w:sz w:val="32"/>
          <w:szCs w:val="32"/>
        </w:rPr>
        <w:t>三、服务管理</w:t>
      </w:r>
    </w:p>
    <w:p>
      <w:pPr>
        <w:widowControl w:val="0"/>
        <w:kinsoku/>
        <w:autoSpaceDE/>
        <w:autoSpaceDN/>
        <w:adjustRightInd/>
        <w:snapToGrid/>
        <w:spacing w:line="520" w:lineRule="exact"/>
        <w:ind w:firstLine="640" w:firstLineChars="200"/>
        <w:jc w:val="both"/>
        <w:textAlignment w:val="auto"/>
        <w:rPr>
          <w:rFonts w:ascii="方正楷体_GB2312" w:hAnsi="方正楷体_GB2312" w:eastAsia="方正楷体_GB2312" w:cs="方正楷体_GB2312"/>
          <w:smallCaps/>
          <w:snapToGrid/>
          <w:color w:val="auto"/>
          <w:kern w:val="2"/>
          <w:sz w:val="32"/>
          <w:szCs w:val="32"/>
        </w:rPr>
      </w:pPr>
      <w:r>
        <w:rPr>
          <w:rFonts w:hint="eastAsia" w:ascii="方正楷体_GB2312" w:hAnsi="方正楷体_GB2312" w:eastAsia="方正楷体_GB2312" w:cs="方正楷体_GB2312"/>
          <w:smallCaps/>
          <w:snapToGrid/>
          <w:color w:val="auto"/>
          <w:kern w:val="2"/>
          <w:sz w:val="32"/>
          <w:szCs w:val="32"/>
        </w:rPr>
        <w:t>(一)基金管理</w:t>
      </w:r>
    </w:p>
    <w:p>
      <w:pPr>
        <w:pStyle w:val="7"/>
        <w:shd w:val="clear" w:color="auto" w:fill="FFFFFF"/>
        <w:kinsoku/>
        <w:autoSpaceDE/>
        <w:autoSpaceDN/>
        <w:adjustRightInd/>
        <w:snapToGrid/>
        <w:spacing w:before="0" w:beforeAutospacing="0" w:after="0" w:afterAutospacing="0" w:line="500" w:lineRule="exact"/>
        <w:ind w:firstLine="640" w:firstLineChars="200"/>
        <w:jc w:val="both"/>
        <w:textAlignment w:val="auto"/>
        <w:rPr>
          <w:rFonts w:ascii="方正仿宋_GBK" w:hAnsi="Times New Roman" w:eastAsia="方正仿宋_GBK" w:cs="Times New Roman"/>
          <w:smallCaps/>
          <w:snapToGrid/>
          <w:color w:val="auto"/>
          <w:kern w:val="2"/>
          <w:sz w:val="32"/>
          <w:szCs w:val="32"/>
        </w:rPr>
      </w:pPr>
      <w:r>
        <w:rPr>
          <w:rFonts w:hint="eastAsia" w:ascii="方正仿宋_GBK" w:hAnsi="Times New Roman" w:eastAsia="方正仿宋_GBK" w:cs="Times New Roman"/>
          <w:smallCaps/>
          <w:snapToGrid/>
          <w:color w:val="auto"/>
          <w:kern w:val="2"/>
          <w:sz w:val="32"/>
          <w:szCs w:val="32"/>
        </w:rPr>
        <w:t>长期护理保险基金参照基本医疗保险基金管理有关制度执 行，单独管理、单独建账，专款专用、分账核算，接受审计和社会监督。要加强费用控制，实行基金预算管理，探索适宜的付费方式。</w:t>
      </w:r>
    </w:p>
    <w:p>
      <w:pPr>
        <w:pStyle w:val="7"/>
        <w:shd w:val="clear" w:color="auto" w:fill="FFFFFF"/>
        <w:kinsoku/>
        <w:autoSpaceDE/>
        <w:autoSpaceDN/>
        <w:adjustRightInd/>
        <w:snapToGrid/>
        <w:spacing w:before="0" w:beforeAutospacing="0" w:after="0" w:afterAutospacing="0" w:line="500" w:lineRule="exact"/>
        <w:ind w:firstLine="640" w:firstLineChars="200"/>
        <w:jc w:val="both"/>
        <w:textAlignment w:val="auto"/>
        <w:rPr>
          <w:rFonts w:ascii="方正楷体_GB2312" w:hAnsi="方正楷体_GB2312" w:eastAsia="方正楷体_GB2312" w:cs="方正楷体_GB2312"/>
          <w:smallCaps/>
          <w:snapToGrid/>
          <w:color w:val="auto"/>
          <w:kern w:val="2"/>
          <w:sz w:val="32"/>
          <w:szCs w:val="32"/>
        </w:rPr>
      </w:pPr>
      <w:r>
        <w:rPr>
          <w:rFonts w:hint="eastAsia" w:ascii="方正楷体_GB2312" w:hAnsi="方正楷体_GB2312" w:eastAsia="方正楷体_GB2312" w:cs="方正楷体_GB2312"/>
          <w:smallCaps/>
          <w:snapToGrid/>
          <w:color w:val="auto"/>
          <w:kern w:val="2"/>
          <w:sz w:val="32"/>
          <w:szCs w:val="32"/>
        </w:rPr>
        <w:t>（二）机构管理</w:t>
      </w:r>
    </w:p>
    <w:p>
      <w:pPr>
        <w:pStyle w:val="7"/>
        <w:shd w:val="clear" w:color="auto" w:fill="FFFFFF"/>
        <w:kinsoku/>
        <w:autoSpaceDE/>
        <w:autoSpaceDN/>
        <w:adjustRightInd/>
        <w:snapToGrid/>
        <w:spacing w:before="0" w:beforeAutospacing="0" w:after="0" w:afterAutospacing="0" w:line="500" w:lineRule="exact"/>
        <w:ind w:firstLine="640" w:firstLineChars="200"/>
        <w:jc w:val="both"/>
        <w:textAlignment w:val="auto"/>
        <w:rPr>
          <w:rFonts w:ascii="方正仿宋_GBK" w:hAnsi="Times New Roman" w:eastAsia="方正仿宋_GBK" w:cs="Times New Roman"/>
          <w:smallCaps/>
          <w:snapToGrid/>
          <w:color w:val="auto"/>
          <w:kern w:val="2"/>
          <w:sz w:val="32"/>
          <w:szCs w:val="32"/>
        </w:rPr>
      </w:pPr>
      <w:r>
        <w:rPr>
          <w:rFonts w:hint="eastAsia" w:ascii="方正仿宋_GBK" w:hAnsi="Times New Roman" w:eastAsia="方正仿宋_GBK" w:cs="Times New Roman"/>
          <w:smallCaps/>
          <w:snapToGrid/>
          <w:color w:val="auto"/>
          <w:kern w:val="2"/>
          <w:sz w:val="32"/>
          <w:szCs w:val="32"/>
        </w:rPr>
        <w:t>建立对护理机构的协议管理和监督稽核等制度。将符合条件的医疗机构、养老服务机构、残疾人托养康复机构、居家护理服务机构等纳入定点护理机构协议管理范围，按协议约定提供护理服务，确保服务质量。引入第三方监管机制，加强对护理服务行为的监管，建立与考核评价、服务满意度相挂钩的定点护理机构动态调整和管理机制。</w:t>
      </w:r>
    </w:p>
    <w:p>
      <w:pPr>
        <w:widowControl w:val="0"/>
        <w:kinsoku/>
        <w:autoSpaceDE/>
        <w:autoSpaceDN/>
        <w:adjustRightInd/>
        <w:snapToGrid/>
        <w:spacing w:line="520" w:lineRule="exact"/>
        <w:ind w:firstLine="640" w:firstLineChars="200"/>
        <w:jc w:val="both"/>
        <w:textAlignment w:val="auto"/>
        <w:rPr>
          <w:rFonts w:ascii="方正楷体_GB2312" w:hAnsi="方正楷体_GB2312" w:eastAsia="方正楷体_GB2312" w:cs="方正楷体_GB2312"/>
          <w:smallCaps/>
          <w:snapToGrid/>
          <w:color w:val="auto"/>
          <w:kern w:val="2"/>
          <w:sz w:val="32"/>
          <w:szCs w:val="32"/>
        </w:rPr>
      </w:pPr>
      <w:r>
        <w:rPr>
          <w:rFonts w:hint="eastAsia" w:ascii="方正楷体_GB2312" w:hAnsi="方正楷体_GB2312" w:eastAsia="方正楷体_GB2312" w:cs="方正楷体_GB2312"/>
          <w:smallCaps/>
          <w:snapToGrid/>
          <w:color w:val="auto"/>
          <w:kern w:val="2"/>
          <w:sz w:val="32"/>
          <w:szCs w:val="32"/>
        </w:rPr>
        <w:t>（三）结算管理</w:t>
      </w:r>
    </w:p>
    <w:p>
      <w:pPr>
        <w:pStyle w:val="7"/>
        <w:shd w:val="clear" w:color="auto" w:fill="FFFFFF"/>
        <w:kinsoku/>
        <w:autoSpaceDE/>
        <w:autoSpaceDN/>
        <w:adjustRightInd/>
        <w:snapToGrid/>
        <w:spacing w:before="0" w:beforeAutospacing="0" w:after="0" w:afterAutospacing="0" w:line="500" w:lineRule="exact"/>
        <w:ind w:firstLine="640" w:firstLineChars="200"/>
        <w:jc w:val="both"/>
        <w:textAlignment w:val="auto"/>
        <w:rPr>
          <w:rFonts w:ascii="方正仿宋_GBK" w:hAnsi="Times New Roman" w:eastAsia="方正仿宋_GBK" w:cs="Times New Roman"/>
          <w:smallCaps/>
          <w:snapToGrid/>
          <w:color w:val="auto"/>
          <w:kern w:val="2"/>
          <w:sz w:val="32"/>
          <w:szCs w:val="32"/>
        </w:rPr>
      </w:pPr>
      <w:r>
        <w:rPr>
          <w:rFonts w:hint="eastAsia" w:ascii="方正仿宋_GBK" w:hAnsi="Times New Roman" w:eastAsia="方正仿宋_GBK" w:cs="Times New Roman"/>
          <w:smallCaps/>
          <w:snapToGrid/>
          <w:color w:val="auto"/>
          <w:kern w:val="2"/>
          <w:sz w:val="32"/>
          <w:szCs w:val="32"/>
        </w:rPr>
        <w:t>参保人员凭本人</w:t>
      </w:r>
      <w:r>
        <w:rPr>
          <w:rFonts w:hint="eastAsia" w:ascii="方正仿宋_GBK" w:hAnsi="Times New Roman" w:eastAsia="方正仿宋_GBK" w:cs="Times New Roman"/>
          <w:smallCaps/>
          <w:snapToGrid/>
          <w:color w:val="auto"/>
          <w:kern w:val="2"/>
          <w:sz w:val="32"/>
          <w:szCs w:val="32"/>
          <w:u w:val="none"/>
        </w:rPr>
        <w:t>社会保障卡</w:t>
      </w:r>
      <w:r>
        <w:rPr>
          <w:rFonts w:hint="eastAsia" w:ascii="方正仿宋_GBK" w:hAnsi="Times New Roman" w:eastAsia="方正仿宋_GBK" w:cs="Times New Roman"/>
          <w:smallCaps/>
          <w:snapToGrid/>
          <w:color w:val="auto"/>
          <w:kern w:val="2"/>
          <w:sz w:val="32"/>
          <w:szCs w:val="32"/>
          <w:u w:val="none"/>
          <w:lang w:eastAsia="zh-CN"/>
        </w:rPr>
        <w:t>（</w:t>
      </w:r>
      <w:r>
        <w:rPr>
          <w:rFonts w:hint="eastAsia" w:ascii="方正仿宋_GBK" w:hAnsi="Times New Roman" w:eastAsia="方正仿宋_GBK" w:cs="Times New Roman"/>
          <w:smallCaps/>
          <w:snapToGrid/>
          <w:color w:val="auto"/>
          <w:kern w:val="2"/>
          <w:sz w:val="32"/>
          <w:szCs w:val="32"/>
        </w:rPr>
        <w:t>或电子医保凭证</w:t>
      </w:r>
      <w:r>
        <w:rPr>
          <w:rFonts w:hint="eastAsia" w:ascii="方正仿宋_GBK" w:hAnsi="Times New Roman" w:eastAsia="方正仿宋_GBK" w:cs="Times New Roman"/>
          <w:smallCaps/>
          <w:snapToGrid/>
          <w:color w:val="auto"/>
          <w:kern w:val="2"/>
          <w:sz w:val="32"/>
          <w:szCs w:val="32"/>
          <w:lang w:eastAsia="zh-CN"/>
        </w:rPr>
        <w:t>）</w:t>
      </w:r>
      <w:r>
        <w:rPr>
          <w:rFonts w:hint="eastAsia" w:ascii="方正仿宋_GBK" w:hAnsi="Times New Roman" w:eastAsia="方正仿宋_GBK" w:cs="Times New Roman"/>
          <w:smallCaps/>
          <w:snapToGrid/>
          <w:color w:val="auto"/>
          <w:kern w:val="2"/>
          <w:sz w:val="32"/>
          <w:szCs w:val="32"/>
        </w:rPr>
        <w:t>接受定点机 构护理服务。发生的符合护理保险服务项目范围和标准的费用，由护理保险基金支付。超出范围和标准的服务费用，护理保险基金不予支付。</w:t>
      </w:r>
    </w:p>
    <w:p>
      <w:pPr>
        <w:widowControl w:val="0"/>
        <w:kinsoku/>
        <w:autoSpaceDE/>
        <w:autoSpaceDN/>
        <w:adjustRightInd/>
        <w:snapToGrid/>
        <w:spacing w:line="520" w:lineRule="exact"/>
        <w:ind w:firstLine="640" w:firstLineChars="200"/>
        <w:jc w:val="both"/>
        <w:textAlignment w:val="auto"/>
        <w:rPr>
          <w:rFonts w:ascii="方正楷体_GB2312" w:hAnsi="方正楷体_GB2312" w:eastAsia="方正楷体_GB2312" w:cs="方正楷体_GB2312"/>
          <w:smallCaps/>
          <w:snapToGrid/>
          <w:color w:val="auto"/>
          <w:kern w:val="2"/>
          <w:sz w:val="32"/>
          <w:szCs w:val="32"/>
        </w:rPr>
      </w:pPr>
      <w:r>
        <w:rPr>
          <w:rFonts w:hint="eastAsia" w:ascii="方正楷体_GB2312" w:hAnsi="方正楷体_GB2312" w:eastAsia="方正楷体_GB2312" w:cs="方正楷体_GB2312"/>
          <w:smallCaps/>
          <w:snapToGrid/>
          <w:color w:val="auto"/>
          <w:kern w:val="2"/>
          <w:sz w:val="32"/>
          <w:szCs w:val="32"/>
        </w:rPr>
        <w:t>(四)经办管理</w:t>
      </w:r>
    </w:p>
    <w:p>
      <w:pPr>
        <w:pStyle w:val="7"/>
        <w:shd w:val="clear" w:color="auto" w:fill="FFFFFF"/>
        <w:kinsoku/>
        <w:autoSpaceDE/>
        <w:autoSpaceDN/>
        <w:adjustRightInd/>
        <w:snapToGrid/>
        <w:spacing w:before="0" w:beforeAutospacing="0" w:after="0" w:afterAutospacing="0" w:line="500" w:lineRule="exact"/>
        <w:ind w:firstLine="640" w:firstLineChars="200"/>
        <w:jc w:val="both"/>
        <w:textAlignment w:val="auto"/>
        <w:rPr>
          <w:rFonts w:ascii="方正仿宋_GBK" w:hAnsi="Times New Roman" w:eastAsia="方正仿宋_GBK" w:cs="Times New Roman"/>
          <w:smallCaps/>
          <w:snapToGrid/>
          <w:color w:val="auto"/>
          <w:kern w:val="2"/>
          <w:sz w:val="32"/>
          <w:szCs w:val="32"/>
        </w:rPr>
      </w:pPr>
      <w:r>
        <w:rPr>
          <w:rFonts w:hint="eastAsia" w:ascii="方正仿宋_GBK" w:hAnsi="Times New Roman" w:eastAsia="方正仿宋_GBK" w:cs="Times New Roman"/>
          <w:smallCaps/>
          <w:snapToGrid/>
          <w:color w:val="auto"/>
          <w:kern w:val="2"/>
          <w:sz w:val="32"/>
          <w:szCs w:val="32"/>
        </w:rPr>
        <w:t>医疗保险经办机构为长期护理保险经办服务管理机构，具体负责长期护理保险的参保登记、基金管理、结算支付、协议管理、服务监管等经办管理事务。在基金安全和有效监控的前提下，引入社会力量参与长期护理保险经办服务，可委托商业保险机构等第三方机构具体承办护理保险经办服务业务；健全经办规程和服务标准，优化服务流程，加强对委托承办机构的协议管理和监督检查。</w:t>
      </w:r>
    </w:p>
    <w:p>
      <w:pPr>
        <w:widowControl w:val="0"/>
        <w:kinsoku/>
        <w:autoSpaceDE/>
        <w:autoSpaceDN/>
        <w:adjustRightInd/>
        <w:snapToGrid/>
        <w:spacing w:line="520" w:lineRule="exact"/>
        <w:ind w:firstLine="640" w:firstLineChars="200"/>
        <w:jc w:val="both"/>
        <w:textAlignment w:val="auto"/>
        <w:rPr>
          <w:rFonts w:ascii="方正楷体_GB2312" w:hAnsi="方正楷体_GB2312" w:eastAsia="方正楷体_GB2312" w:cs="方正楷体_GB2312"/>
          <w:smallCaps/>
          <w:snapToGrid/>
          <w:color w:val="auto"/>
          <w:kern w:val="2"/>
          <w:sz w:val="32"/>
          <w:szCs w:val="32"/>
        </w:rPr>
      </w:pPr>
      <w:r>
        <w:rPr>
          <w:rFonts w:hint="eastAsia" w:ascii="方正楷体_GB2312" w:hAnsi="方正楷体_GB2312" w:eastAsia="方正楷体_GB2312" w:cs="方正楷体_GB2312"/>
          <w:smallCaps/>
          <w:snapToGrid/>
          <w:color w:val="auto"/>
          <w:kern w:val="2"/>
          <w:sz w:val="32"/>
          <w:szCs w:val="32"/>
        </w:rPr>
        <w:t>（五）信息管理</w:t>
      </w:r>
    </w:p>
    <w:p>
      <w:pPr>
        <w:pStyle w:val="7"/>
        <w:shd w:val="clear" w:color="auto" w:fill="FFFFFF"/>
        <w:kinsoku/>
        <w:autoSpaceDE/>
        <w:autoSpaceDN/>
        <w:adjustRightInd/>
        <w:snapToGrid/>
        <w:spacing w:before="0" w:beforeAutospacing="0" w:after="0" w:afterAutospacing="0" w:line="500" w:lineRule="exact"/>
        <w:ind w:firstLine="640" w:firstLineChars="200"/>
        <w:jc w:val="both"/>
        <w:textAlignment w:val="auto"/>
        <w:rPr>
          <w:color w:val="auto"/>
        </w:rPr>
      </w:pPr>
      <w:r>
        <w:rPr>
          <w:rFonts w:hint="eastAsia" w:ascii="方正仿宋_GBK" w:hAnsi="Times New Roman" w:eastAsia="方正仿宋_GBK" w:cs="Times New Roman"/>
          <w:smallCaps/>
          <w:snapToGrid/>
          <w:color w:val="auto"/>
          <w:kern w:val="2"/>
          <w:sz w:val="32"/>
          <w:szCs w:val="32"/>
        </w:rPr>
        <w:t>根据经办管理和护理服务功能需求，建设护理保险信息管理系统，与现有医疗保障经办管理信息系统对接，与评估机构和定点护理机构连接互通，实现护理保险待遇申请、失能评估、护理服务、基金结算、经办管理、服务监管等全流程信息化。</w:t>
      </w:r>
    </w:p>
    <w:p>
      <w:pPr>
        <w:widowControl w:val="0"/>
        <w:kinsoku/>
        <w:autoSpaceDE/>
        <w:autoSpaceDN/>
        <w:adjustRightInd/>
        <w:snapToGrid/>
        <w:spacing w:line="520" w:lineRule="exact"/>
        <w:ind w:firstLine="640" w:firstLineChars="200"/>
        <w:jc w:val="both"/>
        <w:textAlignment w:val="auto"/>
        <w:rPr>
          <w:rFonts w:ascii="方正仿宋_GBK" w:hAnsi="Times New Roman" w:eastAsia="方正仿宋_GBK" w:cs="Times New Roman"/>
          <w:smallCaps/>
          <w:snapToGrid/>
          <w:color w:val="auto"/>
          <w:kern w:val="2"/>
          <w:sz w:val="32"/>
          <w:szCs w:val="32"/>
        </w:rPr>
      </w:pPr>
      <w:r>
        <w:rPr>
          <w:rFonts w:hint="eastAsia" w:ascii="方正仿宋_GBK" w:hAnsi="Times New Roman" w:eastAsia="方正仿宋_GBK" w:cs="Times New Roman"/>
          <w:smallCaps/>
          <w:snapToGrid/>
          <w:color w:val="auto"/>
          <w:kern w:val="2"/>
          <w:sz w:val="32"/>
          <w:szCs w:val="32"/>
        </w:rPr>
        <w:t>推进“互联网+”等创新技术应用，鼓励承办机构建立基于移动网络和智能终端为基础的居家护理信息系统，实现上门服务过程中的服务内容派送、服务时间监控、服务结果评价和风险预警呼叫等信息服务，实现与行业管理部门相关信息系统互联互通、信息共享。</w:t>
      </w:r>
    </w:p>
    <w:p>
      <w:pPr>
        <w:pStyle w:val="7"/>
        <w:shd w:val="clear" w:color="auto" w:fill="FFFFFF"/>
        <w:kinsoku/>
        <w:autoSpaceDE/>
        <w:autoSpaceDN/>
        <w:adjustRightInd/>
        <w:snapToGrid/>
        <w:spacing w:before="0" w:beforeAutospacing="0" w:after="0" w:afterAutospacing="0" w:line="500" w:lineRule="exact"/>
        <w:ind w:firstLine="640" w:firstLineChars="200"/>
        <w:jc w:val="both"/>
        <w:textAlignment w:val="auto"/>
        <w:rPr>
          <w:rFonts w:ascii="方正楷体_GB2312" w:hAnsi="方正楷体_GB2312" w:eastAsia="方正楷体_GB2312" w:cs="方正楷体_GB2312"/>
          <w:smallCaps/>
          <w:snapToGrid/>
          <w:color w:val="auto"/>
          <w:kern w:val="2"/>
          <w:sz w:val="32"/>
          <w:szCs w:val="32"/>
        </w:rPr>
      </w:pPr>
      <w:r>
        <w:rPr>
          <w:rFonts w:hint="eastAsia" w:ascii="方正楷体_GB2312" w:hAnsi="方正楷体_GB2312" w:eastAsia="方正楷体_GB2312" w:cs="方正楷体_GB2312"/>
          <w:smallCaps/>
          <w:snapToGrid/>
          <w:color w:val="auto"/>
          <w:kern w:val="2"/>
          <w:sz w:val="32"/>
          <w:szCs w:val="32"/>
        </w:rPr>
        <w:t>（六）监督管理</w:t>
      </w:r>
    </w:p>
    <w:p>
      <w:pPr>
        <w:pStyle w:val="7"/>
        <w:shd w:val="clear" w:color="auto" w:fill="FFFFFF"/>
        <w:kinsoku/>
        <w:autoSpaceDE/>
        <w:autoSpaceDN/>
        <w:adjustRightInd/>
        <w:snapToGrid/>
        <w:spacing w:before="0" w:beforeAutospacing="0" w:after="0" w:afterAutospacing="0" w:line="500" w:lineRule="exact"/>
        <w:ind w:firstLine="640" w:firstLineChars="200"/>
        <w:jc w:val="both"/>
        <w:textAlignment w:val="auto"/>
        <w:rPr>
          <w:rFonts w:ascii="方正楷体_GB2312" w:hAnsi="方正楷体_GB2312" w:eastAsia="方正楷体_GB2312" w:cs="方正楷体_GB2312"/>
          <w:smallCaps/>
          <w:snapToGrid/>
          <w:color w:val="auto"/>
          <w:kern w:val="2"/>
          <w:sz w:val="32"/>
          <w:szCs w:val="32"/>
        </w:rPr>
      </w:pPr>
      <w:r>
        <w:rPr>
          <w:rFonts w:hint="eastAsia" w:ascii="方正仿宋_GBK" w:hAnsi="Times New Roman" w:eastAsia="方正仿宋_GBK" w:cs="Times New Roman"/>
          <w:smallCaps/>
          <w:snapToGrid/>
          <w:color w:val="auto"/>
          <w:kern w:val="2"/>
          <w:sz w:val="32"/>
          <w:szCs w:val="32"/>
        </w:rPr>
        <w:t>建立健全基金监管机制，创新基金监管方式，加强基金筹集、评估鉴定、费用支付、机构管理等环节的监督管理，完善举报投诉、信息披露、内部控制等风险管理制度，防范护理保险基金欺诈骗保行为，确保基金平稳运行和安全完整。</w:t>
      </w:r>
    </w:p>
    <w:p>
      <w:pPr>
        <w:widowControl w:val="0"/>
        <w:kinsoku/>
        <w:autoSpaceDE/>
        <w:autoSpaceDN/>
        <w:adjustRightInd/>
        <w:snapToGrid/>
        <w:spacing w:line="520" w:lineRule="exact"/>
        <w:ind w:firstLine="640" w:firstLineChars="200"/>
        <w:jc w:val="both"/>
        <w:textAlignment w:val="auto"/>
        <w:rPr>
          <w:rFonts w:ascii="方正宋黑_GBK" w:hAnsi="方正宋黑_GBK" w:eastAsia="方正宋黑_GBK" w:cs="方正宋黑_GBK"/>
          <w:smallCaps/>
          <w:snapToGrid/>
          <w:color w:val="auto"/>
          <w:kern w:val="2"/>
          <w:sz w:val="32"/>
          <w:szCs w:val="32"/>
        </w:rPr>
      </w:pPr>
      <w:r>
        <w:rPr>
          <w:rFonts w:hint="eastAsia" w:ascii="方正宋黑_GBK" w:hAnsi="方正宋黑_GBK" w:eastAsia="方正宋黑_GBK" w:cs="方正宋黑_GBK"/>
          <w:smallCaps/>
          <w:snapToGrid/>
          <w:color w:val="auto"/>
          <w:kern w:val="2"/>
          <w:sz w:val="32"/>
          <w:szCs w:val="32"/>
        </w:rPr>
        <w:t>四、工作要求</w:t>
      </w:r>
    </w:p>
    <w:p>
      <w:pPr>
        <w:widowControl w:val="0"/>
        <w:kinsoku/>
        <w:autoSpaceDE/>
        <w:autoSpaceDN/>
        <w:adjustRightInd/>
        <w:snapToGrid/>
        <w:spacing w:line="520" w:lineRule="exact"/>
        <w:ind w:firstLine="640" w:firstLineChars="200"/>
        <w:jc w:val="both"/>
        <w:textAlignment w:val="auto"/>
        <w:rPr>
          <w:rFonts w:ascii="方正仿宋_GBK" w:hAnsi="Times New Roman" w:eastAsia="方正仿宋_GBK" w:cs="Times New Roman"/>
          <w:smallCaps/>
          <w:snapToGrid/>
          <w:color w:val="auto"/>
          <w:kern w:val="2"/>
          <w:sz w:val="32"/>
          <w:szCs w:val="32"/>
        </w:rPr>
      </w:pPr>
      <w:r>
        <w:rPr>
          <w:rFonts w:hint="eastAsia" w:ascii="方正仿宋_GBK" w:hAnsi="Times New Roman" w:eastAsia="方正仿宋_GBK" w:cs="Times New Roman"/>
          <w:smallCaps/>
          <w:snapToGrid/>
          <w:color w:val="auto"/>
          <w:kern w:val="2"/>
          <w:sz w:val="32"/>
          <w:szCs w:val="32"/>
        </w:rPr>
        <w:t>长期护理保险是多层次社会保障体系的重要组成部分，对于促进民生改善与社会和谐安定具有重要意义。各县区和有关部门要高度重视、加强协作、密切配合，共同推进护理保险工作有序开展。</w:t>
      </w:r>
    </w:p>
    <w:p>
      <w:pPr>
        <w:widowControl w:val="0"/>
        <w:kinsoku/>
        <w:autoSpaceDE/>
        <w:autoSpaceDN/>
        <w:adjustRightInd/>
        <w:snapToGrid/>
        <w:spacing w:line="520" w:lineRule="exact"/>
        <w:ind w:firstLine="640" w:firstLineChars="200"/>
        <w:jc w:val="both"/>
        <w:textAlignment w:val="auto"/>
        <w:rPr>
          <w:rFonts w:ascii="方正仿宋_GBK" w:hAnsi="Times New Roman" w:eastAsia="方正仿宋_GBK" w:cs="Times New Roman"/>
          <w:smallCaps/>
          <w:snapToGrid/>
          <w:color w:val="auto"/>
          <w:kern w:val="2"/>
          <w:sz w:val="32"/>
          <w:szCs w:val="32"/>
        </w:rPr>
      </w:pPr>
      <w:r>
        <w:rPr>
          <w:rFonts w:hint="eastAsia" w:ascii="方正楷体_GB2312" w:hAnsi="方正楷体_GB2312" w:eastAsia="方正楷体_GB2312" w:cs="方正楷体_GB2312"/>
          <w:smallCaps/>
          <w:snapToGrid/>
          <w:color w:val="auto"/>
          <w:kern w:val="2"/>
          <w:sz w:val="32"/>
          <w:szCs w:val="32"/>
        </w:rPr>
        <w:t>（一）加强组织领导。</w:t>
      </w:r>
      <w:r>
        <w:rPr>
          <w:rFonts w:hint="eastAsia" w:ascii="方正仿宋_GBK" w:hAnsi="Times New Roman" w:eastAsia="方正仿宋_GBK" w:cs="Times New Roman"/>
          <w:smallCaps/>
          <w:snapToGrid/>
          <w:color w:val="auto"/>
          <w:kern w:val="2"/>
          <w:sz w:val="32"/>
          <w:szCs w:val="32"/>
        </w:rPr>
        <w:t>各级政府要高度重视长期护理保险试点工作，加强部门协调，建立联动机制，做好本辖区内相关工作的实施。医保部门是长期护理保险的主管部门，负责护理保险的政策制定和组织实施，其经办机构负责做好护理保险经办管理相关事务，委托税务部门负责护理保险基金筹集征缴工作；民政部门负责养老服务机构开展护理服务的行业管理，统筹配置养老服务资源，做好护理保险与高龄（失能）老人护理补贴等政策的工作衔接，并与人力资源和社会保障部门共同做好养老护理行业从业人员的技能培训；财政部门负责将护理保险财政补助部分纳入同级财政预算，加强对基金的监督管理；卫生健康部门负责对医疗机构开展护理服务的行业管理，加强对护理服务中各类护理服务的技术指导，支持</w:t>
      </w:r>
      <w:r>
        <w:rPr>
          <w:rFonts w:hint="eastAsia" w:ascii="方正仿宋_GBK" w:hAnsi="Times New Roman" w:eastAsia="方正仿宋_GBK" w:cs="Times New Roman"/>
          <w:b w:val="0"/>
          <w:bCs w:val="0"/>
          <w:smallCaps/>
          <w:snapToGrid/>
          <w:color w:val="auto"/>
          <w:kern w:val="2"/>
          <w:sz w:val="32"/>
          <w:szCs w:val="32"/>
        </w:rPr>
        <w:t>二级</w:t>
      </w:r>
      <w:r>
        <w:rPr>
          <w:rFonts w:hint="eastAsia" w:ascii="方正仿宋_GBK" w:hAnsi="Times New Roman" w:eastAsia="方正仿宋_GBK" w:cs="Times New Roman"/>
          <w:smallCaps/>
          <w:snapToGrid/>
          <w:color w:val="auto"/>
          <w:kern w:val="2"/>
          <w:sz w:val="32"/>
          <w:szCs w:val="32"/>
        </w:rPr>
        <w:t>及以下医疗机构开设护理病区，加强护理人员、社区家庭医生队伍的培训、培育；残联负责做好残疾人证发放管理和残疾人托养康复机构的行业管理，协同做好残疾人员享受护理保险待遇相关审核工作；退役军人事务部门做好护理保险与伤残军人护理补助等政策的衔接工作；市场监管、银保监、总工会、红十字会等有关部门按照各自职责，共同做好本办法的实施工作。</w:t>
      </w:r>
    </w:p>
    <w:p>
      <w:pPr>
        <w:pStyle w:val="7"/>
        <w:shd w:val="clear" w:color="auto" w:fill="FFFFFF"/>
        <w:kinsoku/>
        <w:autoSpaceDE/>
        <w:autoSpaceDN/>
        <w:adjustRightInd/>
        <w:snapToGrid/>
        <w:spacing w:before="0" w:beforeAutospacing="0" w:after="0" w:afterAutospacing="0" w:line="500" w:lineRule="exact"/>
        <w:ind w:firstLine="640" w:firstLineChars="200"/>
        <w:jc w:val="both"/>
        <w:textAlignment w:val="auto"/>
        <w:rPr>
          <w:rFonts w:ascii="方正仿宋_GBK" w:hAnsi="Times New Roman" w:eastAsia="方正仿宋_GBK" w:cs="Times New Roman"/>
          <w:smallCaps/>
          <w:snapToGrid/>
          <w:color w:val="auto"/>
          <w:kern w:val="2"/>
          <w:sz w:val="32"/>
          <w:szCs w:val="32"/>
        </w:rPr>
      </w:pPr>
      <w:r>
        <w:rPr>
          <w:rFonts w:hint="eastAsia" w:ascii="方正楷体_GB2312" w:hAnsi="方正楷体_GB2312" w:eastAsia="方正楷体_GB2312" w:cs="方正楷体_GB2312"/>
          <w:smallCaps/>
          <w:snapToGrid/>
          <w:color w:val="auto"/>
          <w:kern w:val="2"/>
          <w:sz w:val="32"/>
          <w:szCs w:val="32"/>
        </w:rPr>
        <w:t>（二）培育护理市场</w:t>
      </w:r>
      <w:r>
        <w:rPr>
          <w:rFonts w:hint="eastAsia" w:ascii="方正仿宋_GBK" w:hAnsi="Times New Roman" w:eastAsia="方正仿宋_GBK" w:cs="Times New Roman"/>
          <w:smallCaps/>
          <w:snapToGrid/>
          <w:color w:val="auto"/>
          <w:kern w:val="2"/>
          <w:sz w:val="32"/>
          <w:szCs w:val="32"/>
        </w:rPr>
        <w:t>。各县区、各部门要加大政策扶持力度，积极推进护理服务体系建设，鼓励社会力量、社会组织参与护理服务，充分利用促进就业创业扶持政策和资金，鼓励各类人员到护理服务领域就业创业。加强护理服务从业人员队伍建设，加大护理服务从业人员职业培训力度，依托具备资质的培训机构和职业院校，培养具有较高水平的专业化护理队伍。建立完善护理人员相关职业技能等级证书制度，逐步实现持证上岗，提高护理服务质量。</w:t>
      </w:r>
    </w:p>
    <w:p>
      <w:pPr>
        <w:widowControl w:val="0"/>
        <w:kinsoku/>
        <w:autoSpaceDE/>
        <w:autoSpaceDN/>
        <w:adjustRightInd/>
        <w:snapToGrid/>
        <w:spacing w:line="520" w:lineRule="exact"/>
        <w:ind w:firstLine="640" w:firstLineChars="200"/>
        <w:jc w:val="both"/>
        <w:textAlignment w:val="auto"/>
        <w:rPr>
          <w:rFonts w:ascii="方正仿宋_GBK" w:hAnsi="Times New Roman" w:eastAsia="方正仿宋_GBK" w:cs="Times New Roman"/>
          <w:smallCaps/>
          <w:snapToGrid/>
          <w:color w:val="auto"/>
          <w:kern w:val="2"/>
          <w:sz w:val="32"/>
          <w:szCs w:val="32"/>
        </w:rPr>
      </w:pPr>
      <w:r>
        <w:rPr>
          <w:rFonts w:hint="eastAsia" w:ascii="方正楷体_GB2312" w:hAnsi="方正楷体_GB2312" w:eastAsia="方正楷体_GB2312" w:cs="方正楷体_GB2312"/>
          <w:smallCaps/>
          <w:snapToGrid/>
          <w:color w:val="auto"/>
          <w:kern w:val="2"/>
          <w:sz w:val="32"/>
          <w:szCs w:val="32"/>
        </w:rPr>
        <w:t>（三）重视宣传引导。</w:t>
      </w:r>
      <w:r>
        <w:rPr>
          <w:rFonts w:hint="eastAsia" w:ascii="方正仿宋_GBK" w:hAnsi="Times New Roman" w:eastAsia="方正仿宋_GBK" w:cs="Times New Roman"/>
          <w:smallCaps/>
          <w:snapToGrid/>
          <w:color w:val="auto"/>
          <w:kern w:val="2"/>
          <w:sz w:val="32"/>
          <w:szCs w:val="32"/>
        </w:rPr>
        <w:t>注重社会宣传，充分调动各方力量参与全面试点的积极性和主动性。各县区、各部门要强化宣传工作，大力宣传护理保险制度的重要意义和作用，做好政策解读，合理引导社会预期，凝聚社会共识，为长期护理保险试点工作的顺利推进营造良好的舆论氛围。</w:t>
      </w:r>
    </w:p>
    <w:p>
      <w:pPr>
        <w:pStyle w:val="7"/>
        <w:shd w:val="clear" w:color="auto" w:fill="FFFFFF"/>
        <w:kinsoku/>
        <w:autoSpaceDE/>
        <w:autoSpaceDN/>
        <w:adjustRightInd/>
        <w:snapToGrid/>
        <w:spacing w:before="0" w:beforeAutospacing="0" w:after="0" w:afterAutospacing="0" w:line="500" w:lineRule="exact"/>
        <w:ind w:firstLine="640" w:firstLineChars="200"/>
        <w:jc w:val="both"/>
        <w:textAlignment w:val="auto"/>
        <w:rPr>
          <w:rFonts w:ascii="方正仿宋_GBK" w:hAnsi="Times New Roman" w:eastAsia="方正仿宋_GBK" w:cs="Times New Roman"/>
          <w:smallCaps/>
          <w:snapToGrid/>
          <w:color w:val="auto"/>
          <w:kern w:val="2"/>
          <w:sz w:val="32"/>
          <w:szCs w:val="32"/>
        </w:rPr>
      </w:pPr>
      <w:r>
        <w:rPr>
          <w:rFonts w:hint="eastAsia" w:ascii="方正仿宋_GBK" w:hAnsi="Times New Roman" w:eastAsia="方正仿宋_GBK" w:cs="Times New Roman"/>
          <w:smallCaps/>
          <w:snapToGrid/>
          <w:color w:val="auto"/>
          <w:kern w:val="2"/>
          <w:sz w:val="32"/>
          <w:szCs w:val="32"/>
        </w:rPr>
        <w:t>本方案自</w:t>
      </w:r>
      <w:r>
        <w:rPr>
          <w:rFonts w:ascii="方正仿宋_GBK" w:hAnsi="Times New Roman" w:eastAsia="方正仿宋_GBK" w:cs="Times New Roman"/>
          <w:smallCaps/>
          <w:snapToGrid/>
          <w:color w:val="auto"/>
          <w:kern w:val="2"/>
          <w:sz w:val="32"/>
          <w:szCs w:val="32"/>
        </w:rPr>
        <w:t>2022</w:t>
      </w:r>
      <w:r>
        <w:rPr>
          <w:rFonts w:hint="eastAsia" w:ascii="方正仿宋_GBK" w:hAnsi="Times New Roman" w:eastAsia="方正仿宋_GBK" w:cs="Times New Roman"/>
          <w:smallCaps/>
          <w:snapToGrid/>
          <w:color w:val="auto"/>
          <w:kern w:val="2"/>
          <w:sz w:val="32"/>
          <w:szCs w:val="32"/>
        </w:rPr>
        <w:t>年 月 日起施行，实施细则由市医疗保障部门会同相关部门另行制定。如国家和省有新规定的，从其规定。</w:t>
      </w:r>
    </w:p>
    <w:p>
      <w:pPr>
        <w:shd w:val="clear" w:color="auto" w:fill="FFFFFF"/>
        <w:kinsoku/>
        <w:autoSpaceDE/>
        <w:autoSpaceDN/>
        <w:adjustRightInd/>
        <w:snapToGrid/>
        <w:spacing w:line="500" w:lineRule="exact"/>
        <w:ind w:firstLine="645"/>
        <w:jc w:val="both"/>
        <w:textAlignment w:val="auto"/>
        <w:rPr>
          <w:rFonts w:ascii="方正楷体_GBK" w:hAnsi="方正楷体_GBK" w:eastAsia="方正楷体_GBK" w:cs="方正楷体_GBK"/>
          <w:color w:val="auto"/>
          <w:sz w:val="31"/>
          <w:szCs w:val="31"/>
          <w:shd w:val="clear" w:color="auto" w:fill="FFFFFF"/>
          <w:lang w:bidi="ar"/>
        </w:rPr>
      </w:pPr>
    </w:p>
    <w:p>
      <w:pPr>
        <w:shd w:val="clear" w:color="auto" w:fill="FFFFFF"/>
        <w:kinsoku/>
        <w:autoSpaceDE/>
        <w:autoSpaceDN/>
        <w:adjustRightInd/>
        <w:snapToGrid/>
        <w:spacing w:line="500" w:lineRule="exact"/>
        <w:ind w:firstLine="645"/>
        <w:jc w:val="both"/>
        <w:textAlignment w:val="auto"/>
        <w:rPr>
          <w:rFonts w:ascii="方正楷体_GBK" w:hAnsi="方正楷体_GBK" w:eastAsia="方正楷体_GBK" w:cs="方正楷体_GBK"/>
          <w:color w:val="auto"/>
          <w:sz w:val="31"/>
          <w:szCs w:val="31"/>
          <w:shd w:val="clear" w:color="auto" w:fill="FFFFFF"/>
          <w:lang w:bidi="ar"/>
        </w:rPr>
      </w:pPr>
    </w:p>
    <w:p>
      <w:pPr>
        <w:spacing w:line="250" w:lineRule="auto"/>
        <w:rPr>
          <w:color w:val="auto"/>
        </w:rPr>
      </w:pPr>
      <w:bookmarkStart w:id="0" w:name="_GoBack"/>
      <w:bookmarkEnd w:id="0"/>
      <w:r>
        <w:rPr>
          <w:color w:val="auto"/>
        </w:rPr>
        <w:pict>
          <v:rect id="_x0000_s1046" o:spid="_x0000_s1046" o:spt="1" style="position:absolute;left:0pt;margin-left:78.95pt;margin-top:745.2pt;height:48.3pt;width:91.85pt;mso-position-horizontal-relative:page;mso-position-vertical-relative:page;z-index:251660288;mso-width-relative:page;mso-height-relative:page;" fillcolor="#FEFEFE" filled="t" stroked="f" coordsize="21600,21600" o:allowincell="f">
            <v:path/>
            <v:fill on="t" focussize="0,0"/>
            <v:stroke on="f"/>
            <v:imagedata o:title=""/>
            <o:lock v:ext="edit"/>
          </v:rect>
        </w:pict>
      </w:r>
      <w:r>
        <w:rPr>
          <w:color w:val="auto"/>
        </w:rPr>
        <w:pict>
          <v:rect id="_x0000_s1048" o:spid="_x0000_s1048" o:spt="1" style="position:absolute;left:0pt;margin-left:444.35pt;margin-top:741.6pt;height:48.3pt;width:91.85pt;mso-position-horizontal-relative:page;mso-position-vertical-relative:page;z-index:251661312;mso-width-relative:page;mso-height-relative:page;" fillcolor="#FEFEFE" filled="t" stroked="f" coordsize="21600,21600" o:allowincell="f">
            <v:path/>
            <v:fill on="t" focussize="0,0"/>
            <v:stroke on="f"/>
            <v:imagedata o:title=""/>
            <o:lock v:ext="edit"/>
          </v:rect>
        </w:pict>
      </w:r>
    </w:p>
    <w:sectPr>
      <w:headerReference r:id="rId3" w:type="default"/>
      <w:footerReference r:id="rId4" w:type="default"/>
      <w:pgSz w:w="11905" w:h="16840"/>
      <w:pgMar w:top="1423" w:right="1518" w:bottom="1650" w:left="1746" w:header="0" w:footer="1020" w:gutter="0"/>
      <w:pgNumType w:fmt="numberInDash"/>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8C9CEEE-9FF1-49E2-8A57-FC915AACD40E}"/>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公文小标宋">
    <w:panose1 w:val="02000500000000000000"/>
    <w:charset w:val="86"/>
    <w:family w:val="auto"/>
    <w:pitch w:val="default"/>
    <w:sig w:usb0="A00002BF" w:usb1="38CF7CFA" w:usb2="00000016" w:usb3="00000000" w:csb0="00040001" w:csb1="00000000"/>
    <w:embedRegular r:id="rId2" w:fontKey="{44BCD102-E6D6-423D-92C6-2933E96DB9D9}"/>
  </w:font>
  <w:font w:name="方正仿宋_GBK">
    <w:panose1 w:val="03000509000000000000"/>
    <w:charset w:val="86"/>
    <w:family w:val="script"/>
    <w:pitch w:val="default"/>
    <w:sig w:usb0="00000001" w:usb1="080E0000" w:usb2="00000000" w:usb3="00000000" w:csb0="00040000" w:csb1="00000000"/>
    <w:embedRegular r:id="rId3" w:fontKey="{F210EF08-CD24-4379-A7EF-9EE7A7911D95}"/>
  </w:font>
  <w:font w:name="方正宋黑_GBK">
    <w:panose1 w:val="03000509000000000000"/>
    <w:charset w:val="86"/>
    <w:family w:val="auto"/>
    <w:pitch w:val="default"/>
    <w:sig w:usb0="00000001" w:usb1="080E0000" w:usb2="00000000" w:usb3="00000000" w:csb0="00040000" w:csb1="00000000"/>
    <w:embedRegular r:id="rId4" w:fontKey="{D58A1975-634D-4572-8FAE-333D7E4A1F1C}"/>
  </w:font>
  <w:font w:name="方正楷体_GB2312">
    <w:panose1 w:val="02000000000000000000"/>
    <w:charset w:val="86"/>
    <w:family w:val="auto"/>
    <w:pitch w:val="default"/>
    <w:sig w:usb0="A00002BF" w:usb1="184F6CFA" w:usb2="00000012" w:usb3="00000000" w:csb0="00040001" w:csb1="00000000"/>
    <w:embedRegular r:id="rId5" w:fontKey="{D3E5A92D-7F2B-4382-8F36-A98DD85E3AD0}"/>
  </w:font>
  <w:font w:name="方正楷体_GBK">
    <w:panose1 w:val="03000509000000000000"/>
    <w:charset w:val="86"/>
    <w:family w:val="auto"/>
    <w:pitch w:val="default"/>
    <w:sig w:usb0="00000001" w:usb1="080E0000" w:usb2="00000000" w:usb3="00000000" w:csb0="00040000" w:csb1="00000000"/>
    <w:embedRegular r:id="rId6" w:fontKey="{EF1A7020-74A0-4545-892B-450AE8D9C58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r>
      <w:rPr>
        <w:sz w:val="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2924C10"/>
    <w:multiLevelType w:val="singleLevel"/>
    <w:tmpl w:val="42924C10"/>
    <w:lvl w:ilvl="0" w:tentative="0">
      <w:start w:val="3"/>
      <w:numFmt w:val="chineseCounting"/>
      <w:suff w:val="nothing"/>
      <w:lvlText w:val="（%1）"/>
      <w:lvlJc w:val="left"/>
      <w:rPr>
        <w:rFonts w:hint="eastAsia"/>
      </w:rPr>
    </w:lvl>
  </w:abstractNum>
  <w:abstractNum w:abstractNumId="1">
    <w:nsid w:val="6DE3FF06"/>
    <w:multiLevelType w:val="singleLevel"/>
    <w:tmpl w:val="6DE3FF06"/>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documentProtection w:enforcement="0"/>
  <w:defaultTabStop w:val="420"/>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ZGQ3NDljZWI3ZDU5ODNhMTVlMzc5NWQyNWMzZjBiMGMifQ=="/>
  </w:docVars>
  <w:rsids>
    <w:rsidRoot w:val="00480C63"/>
    <w:rsid w:val="000B069A"/>
    <w:rsid w:val="003A43EB"/>
    <w:rsid w:val="00480C63"/>
    <w:rsid w:val="005A3215"/>
    <w:rsid w:val="00CA613C"/>
    <w:rsid w:val="00F003C7"/>
    <w:rsid w:val="00F26F83"/>
    <w:rsid w:val="01737DD0"/>
    <w:rsid w:val="01770BEA"/>
    <w:rsid w:val="01782E3F"/>
    <w:rsid w:val="02E84E72"/>
    <w:rsid w:val="035D1287"/>
    <w:rsid w:val="03E441B7"/>
    <w:rsid w:val="046674A7"/>
    <w:rsid w:val="05E97064"/>
    <w:rsid w:val="072C09C9"/>
    <w:rsid w:val="08714B1A"/>
    <w:rsid w:val="08E07617"/>
    <w:rsid w:val="096A2049"/>
    <w:rsid w:val="09BB4401"/>
    <w:rsid w:val="0A916BB6"/>
    <w:rsid w:val="0B5345CF"/>
    <w:rsid w:val="0C48085D"/>
    <w:rsid w:val="0C6D4D5C"/>
    <w:rsid w:val="0DC911D8"/>
    <w:rsid w:val="0E125B5A"/>
    <w:rsid w:val="0E3E5B52"/>
    <w:rsid w:val="0E7C7503"/>
    <w:rsid w:val="0EFC3512"/>
    <w:rsid w:val="0F5600DD"/>
    <w:rsid w:val="108B4EC7"/>
    <w:rsid w:val="11C30A64"/>
    <w:rsid w:val="1248756B"/>
    <w:rsid w:val="12E56666"/>
    <w:rsid w:val="1308482A"/>
    <w:rsid w:val="138F415E"/>
    <w:rsid w:val="141D6CF8"/>
    <w:rsid w:val="1659387A"/>
    <w:rsid w:val="168B4F87"/>
    <w:rsid w:val="16F53949"/>
    <w:rsid w:val="17C82901"/>
    <w:rsid w:val="182A3819"/>
    <w:rsid w:val="19193365"/>
    <w:rsid w:val="1986166E"/>
    <w:rsid w:val="19FD786F"/>
    <w:rsid w:val="1AAE5257"/>
    <w:rsid w:val="1AF51FE3"/>
    <w:rsid w:val="1B0A43A9"/>
    <w:rsid w:val="1C946398"/>
    <w:rsid w:val="1D7D743E"/>
    <w:rsid w:val="1E053C7F"/>
    <w:rsid w:val="1E782F8F"/>
    <w:rsid w:val="1F3B3F8B"/>
    <w:rsid w:val="1F582D84"/>
    <w:rsid w:val="1F63035D"/>
    <w:rsid w:val="20B06BA0"/>
    <w:rsid w:val="22194E83"/>
    <w:rsid w:val="247B3126"/>
    <w:rsid w:val="249B5F32"/>
    <w:rsid w:val="24C8104C"/>
    <w:rsid w:val="24F00231"/>
    <w:rsid w:val="253379F7"/>
    <w:rsid w:val="258970DC"/>
    <w:rsid w:val="25C04100"/>
    <w:rsid w:val="267F185A"/>
    <w:rsid w:val="284F39D7"/>
    <w:rsid w:val="28670211"/>
    <w:rsid w:val="29B5500B"/>
    <w:rsid w:val="29B75BAB"/>
    <w:rsid w:val="29C96021"/>
    <w:rsid w:val="2C032CD8"/>
    <w:rsid w:val="2C484235"/>
    <w:rsid w:val="2D9607AB"/>
    <w:rsid w:val="2DA67392"/>
    <w:rsid w:val="2E6B1315"/>
    <w:rsid w:val="2EF91817"/>
    <w:rsid w:val="2F6F4675"/>
    <w:rsid w:val="300F0316"/>
    <w:rsid w:val="32862C2C"/>
    <w:rsid w:val="32DF1F6F"/>
    <w:rsid w:val="33983EB2"/>
    <w:rsid w:val="34AB4E4F"/>
    <w:rsid w:val="34FA62E8"/>
    <w:rsid w:val="35E94B2F"/>
    <w:rsid w:val="36422E07"/>
    <w:rsid w:val="3712395E"/>
    <w:rsid w:val="376C64F9"/>
    <w:rsid w:val="37D526F5"/>
    <w:rsid w:val="38C93B45"/>
    <w:rsid w:val="38E8385A"/>
    <w:rsid w:val="39B87328"/>
    <w:rsid w:val="3A3C3EF3"/>
    <w:rsid w:val="3B9226E4"/>
    <w:rsid w:val="3BF375EE"/>
    <w:rsid w:val="3BF95776"/>
    <w:rsid w:val="3C442ADA"/>
    <w:rsid w:val="3C4C0BA8"/>
    <w:rsid w:val="3D875C11"/>
    <w:rsid w:val="3F8970A9"/>
    <w:rsid w:val="40D804AB"/>
    <w:rsid w:val="41831414"/>
    <w:rsid w:val="41B82E6B"/>
    <w:rsid w:val="43687C52"/>
    <w:rsid w:val="452A0E9A"/>
    <w:rsid w:val="45991206"/>
    <w:rsid w:val="46D308C7"/>
    <w:rsid w:val="46E25366"/>
    <w:rsid w:val="47D442DD"/>
    <w:rsid w:val="47F94BAB"/>
    <w:rsid w:val="4A844143"/>
    <w:rsid w:val="4AD6495A"/>
    <w:rsid w:val="4CFC2411"/>
    <w:rsid w:val="4D2322DE"/>
    <w:rsid w:val="4D232DAB"/>
    <w:rsid w:val="4E511335"/>
    <w:rsid w:val="4F0B3952"/>
    <w:rsid w:val="4F8B61E8"/>
    <w:rsid w:val="50AA2519"/>
    <w:rsid w:val="50BD5EF8"/>
    <w:rsid w:val="52EB30CD"/>
    <w:rsid w:val="5344454E"/>
    <w:rsid w:val="540766A0"/>
    <w:rsid w:val="547D78E9"/>
    <w:rsid w:val="55800109"/>
    <w:rsid w:val="57821531"/>
    <w:rsid w:val="57E64F8B"/>
    <w:rsid w:val="57F53A25"/>
    <w:rsid w:val="586E1101"/>
    <w:rsid w:val="59C073DB"/>
    <w:rsid w:val="5A203B6F"/>
    <w:rsid w:val="5A7C3A5C"/>
    <w:rsid w:val="5ABE568D"/>
    <w:rsid w:val="5AC8580E"/>
    <w:rsid w:val="5AFC1BC3"/>
    <w:rsid w:val="5C0242BB"/>
    <w:rsid w:val="5C1D6AAC"/>
    <w:rsid w:val="5CA1310C"/>
    <w:rsid w:val="5CCA6187"/>
    <w:rsid w:val="5DD44246"/>
    <w:rsid w:val="5DF37B91"/>
    <w:rsid w:val="5EDD1D0C"/>
    <w:rsid w:val="60173207"/>
    <w:rsid w:val="61DA4E41"/>
    <w:rsid w:val="61ED4842"/>
    <w:rsid w:val="61F81B90"/>
    <w:rsid w:val="62A244AE"/>
    <w:rsid w:val="643B0AD2"/>
    <w:rsid w:val="643F3728"/>
    <w:rsid w:val="64DA487F"/>
    <w:rsid w:val="654F3671"/>
    <w:rsid w:val="65D51836"/>
    <w:rsid w:val="68F7373A"/>
    <w:rsid w:val="6912015E"/>
    <w:rsid w:val="697F3CAF"/>
    <w:rsid w:val="69AF38E4"/>
    <w:rsid w:val="6B621F16"/>
    <w:rsid w:val="6B9570A0"/>
    <w:rsid w:val="6C8951FC"/>
    <w:rsid w:val="6D6A162D"/>
    <w:rsid w:val="6DCA1C8C"/>
    <w:rsid w:val="6E1C6E5A"/>
    <w:rsid w:val="6E2D0C79"/>
    <w:rsid w:val="6E874A9B"/>
    <w:rsid w:val="6EE33480"/>
    <w:rsid w:val="70AC5255"/>
    <w:rsid w:val="71177A0A"/>
    <w:rsid w:val="717E0935"/>
    <w:rsid w:val="719B58DB"/>
    <w:rsid w:val="724516B4"/>
    <w:rsid w:val="732678FC"/>
    <w:rsid w:val="746E3670"/>
    <w:rsid w:val="748E1CC5"/>
    <w:rsid w:val="758919AB"/>
    <w:rsid w:val="76001A47"/>
    <w:rsid w:val="76232458"/>
    <w:rsid w:val="76372B49"/>
    <w:rsid w:val="779A0019"/>
    <w:rsid w:val="780C3203"/>
    <w:rsid w:val="7A805F15"/>
    <w:rsid w:val="7B8874E6"/>
    <w:rsid w:val="7C012E40"/>
    <w:rsid w:val="7D0B0093"/>
    <w:rsid w:val="7D1D1452"/>
    <w:rsid w:val="7F5B67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rPr>
      <w:sz w:val="36"/>
    </w:rPr>
  </w:style>
  <w:style w:type="paragraph" w:styleId="3">
    <w:name w:val="footer"/>
    <w:basedOn w:val="1"/>
    <w:qFormat/>
    <w:uiPriority w:val="99"/>
    <w:pPr>
      <w:tabs>
        <w:tab w:val="center" w:pos="4153"/>
        <w:tab w:val="right" w:pos="8306"/>
      </w:tabs>
    </w:pPr>
    <w:rPr>
      <w:sz w:val="18"/>
      <w:szCs w:val="18"/>
    </w:rPr>
  </w:style>
  <w:style w:type="paragraph" w:styleId="4">
    <w:name w:val="annotation text"/>
    <w:basedOn w:val="1"/>
    <w:link w:val="13"/>
    <w:qFormat/>
    <w:uiPriority w:val="0"/>
  </w:style>
  <w:style w:type="paragraph" w:styleId="5">
    <w:name w:val="Balloon Text"/>
    <w:basedOn w:val="1"/>
    <w:link w:val="15"/>
    <w:qFormat/>
    <w:uiPriority w:val="0"/>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7">
    <w:name w:val="Normal (Web)"/>
    <w:basedOn w:val="1"/>
    <w:qFormat/>
    <w:uiPriority w:val="0"/>
    <w:pPr>
      <w:spacing w:before="100" w:beforeAutospacing="1" w:after="100" w:afterAutospacing="1"/>
    </w:pPr>
    <w:rPr>
      <w:rFonts w:ascii="宋体" w:hAnsi="宋体" w:cs="宋体"/>
      <w:sz w:val="24"/>
    </w:rPr>
  </w:style>
  <w:style w:type="paragraph" w:styleId="8">
    <w:name w:val="annotation subject"/>
    <w:basedOn w:val="4"/>
    <w:next w:val="4"/>
    <w:link w:val="14"/>
    <w:qFormat/>
    <w:uiPriority w:val="0"/>
    <w:rPr>
      <w:b/>
      <w:bCs/>
    </w:rPr>
  </w:style>
  <w:style w:type="character" w:styleId="11">
    <w:name w:val="annotation reference"/>
    <w:basedOn w:val="10"/>
    <w:qFormat/>
    <w:uiPriority w:val="0"/>
    <w:rPr>
      <w:sz w:val="21"/>
      <w:szCs w:val="21"/>
    </w:rPr>
  </w:style>
  <w:style w:type="table" w:customStyle="1" w:styleId="12">
    <w:name w:val="Table Normal"/>
    <w:semiHidden/>
    <w:unhideWhenUsed/>
    <w:qFormat/>
    <w:uiPriority w:val="0"/>
    <w:tblPr>
      <w:tblCellMar>
        <w:top w:w="0" w:type="dxa"/>
        <w:left w:w="0" w:type="dxa"/>
        <w:bottom w:w="0" w:type="dxa"/>
        <w:right w:w="0" w:type="dxa"/>
      </w:tblCellMar>
    </w:tblPr>
  </w:style>
  <w:style w:type="character" w:customStyle="1" w:styleId="13">
    <w:name w:val="批注文字 Char"/>
    <w:basedOn w:val="10"/>
    <w:link w:val="4"/>
    <w:qFormat/>
    <w:uiPriority w:val="0"/>
    <w:rPr>
      <w:rFonts w:ascii="Arial" w:hAnsi="Arial" w:eastAsia="Arial" w:cs="Arial"/>
      <w:snapToGrid w:val="0"/>
      <w:color w:val="000000"/>
      <w:sz w:val="21"/>
      <w:szCs w:val="21"/>
    </w:rPr>
  </w:style>
  <w:style w:type="character" w:customStyle="1" w:styleId="14">
    <w:name w:val="批注主题 Char"/>
    <w:basedOn w:val="13"/>
    <w:link w:val="8"/>
    <w:qFormat/>
    <w:uiPriority w:val="0"/>
    <w:rPr>
      <w:rFonts w:ascii="Arial" w:hAnsi="Arial" w:eastAsia="Arial" w:cs="Arial"/>
      <w:b/>
      <w:bCs/>
      <w:snapToGrid w:val="0"/>
      <w:color w:val="000000"/>
      <w:sz w:val="21"/>
      <w:szCs w:val="21"/>
    </w:rPr>
  </w:style>
  <w:style w:type="character" w:customStyle="1" w:styleId="15">
    <w:name w:val="批注框文本 Char"/>
    <w:basedOn w:val="10"/>
    <w:link w:val="5"/>
    <w:qFormat/>
    <w:uiPriority w:val="0"/>
    <w:rPr>
      <w:rFonts w:ascii="Arial" w:hAnsi="Arial" w:eastAsia="Arial" w:cs="Arial"/>
      <w:snapToGrid w:val="0"/>
      <w:color w:val="000000"/>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46"/>
    <customShpInfo spid="_x0000_s104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6</Pages>
  <Words>3212</Words>
  <Characters>3226</Characters>
  <Lines>24</Lines>
  <Paragraphs>6</Paragraphs>
  <TotalTime>7</TotalTime>
  <ScaleCrop>false</ScaleCrop>
  <LinksUpToDate>false</LinksUpToDate>
  <CharactersWithSpaces>3232</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2023-02-16T09:05:00Z</dcterms:created>
  <dc:creator>Admin</dc:creator>
  <cp:lastModifiedBy>水滴</cp:lastModifiedBy>
  <cp:lastPrinted>2022-10-26T01:43:00Z</cp:lastPrinted>
  <dcterms:modified xsi:type="dcterms:W3CDTF">2023-02-22T08:16:00Z</dcterms:modified>
  <dc:title>Microsoft Word - 封面</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2022-10-24T09:30:04Z</vt:filetime>
  </property>
  <property fmtid="{D5CDD505-2E9C-101B-9397-08002B2CF9AE}" pid="4" name="KSOProductBuildVer">
    <vt:lpwstr>2052-11.1.0.13703</vt:lpwstr>
  </property>
  <property fmtid="{D5CDD505-2E9C-101B-9397-08002B2CF9AE}" pid="5" name="ICV">
    <vt:lpwstr>BB679A67E065443D87293058CAECE44F</vt:lpwstr>
  </property>
</Properties>
</file>